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44B32" w14:textId="77777777" w:rsidR="00DA111E" w:rsidRDefault="00DA111E" w:rsidP="00DA111E">
      <w:pPr>
        <w:rPr>
          <w:b/>
          <w:u w:val="single"/>
        </w:rPr>
      </w:pPr>
      <w:bookmarkStart w:id="0" w:name="_Hlk83948203"/>
      <w:bookmarkStart w:id="1" w:name="_GoBack"/>
      <w:bookmarkEnd w:id="1"/>
      <w:r w:rsidRPr="003F27C8">
        <w:rPr>
          <w:rFonts w:ascii="Times New Roman" w:hAnsi="Times New Roman"/>
          <w:noProof/>
          <w:sz w:val="28"/>
          <w:szCs w:val="28"/>
        </w:rPr>
        <w:drawing>
          <wp:anchor distT="0" distB="0" distL="114300" distR="114300" simplePos="0" relativeHeight="251661312" behindDoc="0" locked="0" layoutInCell="1" allowOverlap="1" wp14:anchorId="03C81088" wp14:editId="2D2EE422">
            <wp:simplePos x="0" y="0"/>
            <wp:positionH relativeFrom="column">
              <wp:posOffset>90140</wp:posOffset>
            </wp:positionH>
            <wp:positionV relativeFrom="paragraph">
              <wp:posOffset>296398</wp:posOffset>
            </wp:positionV>
            <wp:extent cx="914400" cy="914400"/>
            <wp:effectExtent l="0" t="0" r="0" b="0"/>
            <wp:wrapSquare wrapText="bothSides"/>
            <wp:docPr id="234298347" name="Picture 7" descr="Liberia Telecommunications Authorit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beria Telecommunications Authority | Linked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27C8">
        <w:rPr>
          <w:rFonts w:ascii="Times New Roman" w:hAnsi="Times New Roman"/>
          <w:noProof/>
          <w:sz w:val="28"/>
          <w:szCs w:val="28"/>
        </w:rPr>
        <w:drawing>
          <wp:anchor distT="0" distB="0" distL="114300" distR="114300" simplePos="0" relativeHeight="251660288" behindDoc="0" locked="0" layoutInCell="1" allowOverlap="1" wp14:anchorId="7AF2C510" wp14:editId="0CDAB81D">
            <wp:simplePos x="0" y="0"/>
            <wp:positionH relativeFrom="column">
              <wp:posOffset>2216652</wp:posOffset>
            </wp:positionH>
            <wp:positionV relativeFrom="paragraph">
              <wp:posOffset>298613</wp:posOffset>
            </wp:positionV>
            <wp:extent cx="878258" cy="882502"/>
            <wp:effectExtent l="0" t="0" r="0" b="0"/>
            <wp:wrapSquare wrapText="bothSides"/>
            <wp:docPr id="1968284871" name="Picture 3" descr="Ministry of Posts &amp; Telecommunications, Republic of Liberia | Monro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stry of Posts &amp; Telecommunications, Republic of Liberia | Monrov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8258" cy="8825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B978" w14:textId="77777777" w:rsidR="00DA111E" w:rsidRDefault="00DA111E" w:rsidP="00DA111E">
      <w:pPr>
        <w:rPr>
          <w:b/>
          <w:u w:val="single"/>
        </w:rPr>
      </w:pPr>
      <w:r>
        <w:rPr>
          <w:b/>
          <w:noProof/>
          <w:u w:val="single"/>
        </w:rPr>
        <w:drawing>
          <wp:anchor distT="0" distB="0" distL="114300" distR="114300" simplePos="0" relativeHeight="251659264" behindDoc="1" locked="0" layoutInCell="1" allowOverlap="1" wp14:anchorId="7833220F" wp14:editId="394AFD0D">
            <wp:simplePos x="0" y="0"/>
            <wp:positionH relativeFrom="column">
              <wp:posOffset>3945225</wp:posOffset>
            </wp:positionH>
            <wp:positionV relativeFrom="paragraph">
              <wp:posOffset>41910</wp:posOffset>
            </wp:positionV>
            <wp:extent cx="790575" cy="755015"/>
            <wp:effectExtent l="0" t="0" r="9525" b="6985"/>
            <wp:wrapTight wrapText="bothSides">
              <wp:wrapPolygon edited="0">
                <wp:start x="0" y="0"/>
                <wp:lineTo x="0" y="21255"/>
                <wp:lineTo x="21340" y="21255"/>
                <wp:lineTo x="21340" y="0"/>
                <wp:lineTo x="0" y="0"/>
              </wp:wrapPolygon>
            </wp:wrapTight>
            <wp:docPr id="24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4"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90575" cy="755015"/>
                    </a:xfrm>
                    <a:prstGeom prst="rect">
                      <a:avLst/>
                    </a:prstGeom>
                    <a:noFill/>
                    <a:ln>
                      <a:noFill/>
                    </a:ln>
                  </pic:spPr>
                </pic:pic>
              </a:graphicData>
            </a:graphic>
          </wp:anchor>
        </w:drawing>
      </w:r>
    </w:p>
    <w:p w14:paraId="2489179F" w14:textId="77777777" w:rsidR="00DA111E" w:rsidRDefault="00DA111E" w:rsidP="00DA111E">
      <w:pPr>
        <w:jc w:val="center"/>
        <w:rPr>
          <w:b/>
          <w:u w:val="single"/>
        </w:rPr>
      </w:pPr>
    </w:p>
    <w:p w14:paraId="3A5BFF3C" w14:textId="77777777" w:rsidR="00DA111E" w:rsidRDefault="00DA111E" w:rsidP="00DA111E"/>
    <w:tbl>
      <w:tblPr>
        <w:tblStyle w:val="GridTable2-Accent61"/>
        <w:tblpPr w:leftFromText="180" w:rightFromText="180" w:vertAnchor="text" w:horzAnchor="margin" w:tblpY="92"/>
        <w:tblW w:w="8770" w:type="dxa"/>
        <w:tblLook w:val="04A0" w:firstRow="1" w:lastRow="0" w:firstColumn="1" w:lastColumn="0" w:noHBand="0" w:noVBand="1"/>
      </w:tblPr>
      <w:tblGrid>
        <w:gridCol w:w="8770"/>
      </w:tblGrid>
      <w:tr w:rsidR="00DA111E" w14:paraId="60A4214C" w14:textId="77777777" w:rsidTr="00A808EC">
        <w:trPr>
          <w:cnfStyle w:val="100000000000" w:firstRow="1" w:lastRow="0" w:firstColumn="0" w:lastColumn="0" w:oddVBand="0" w:evenVBand="0" w:oddHBand="0" w:evenHBand="0" w:firstRowFirstColumn="0" w:firstRowLastColumn="0" w:lastRowFirstColumn="0" w:lastRowLastColumn="0"/>
          <w:trHeight w:val="2168"/>
        </w:trPr>
        <w:tc>
          <w:tcPr>
            <w:cnfStyle w:val="001000000000" w:firstRow="0" w:lastRow="0" w:firstColumn="1" w:lastColumn="0" w:oddVBand="0" w:evenVBand="0" w:oddHBand="0" w:evenHBand="0" w:firstRowFirstColumn="0" w:firstRowLastColumn="0" w:lastRowFirstColumn="0" w:lastRowLastColumn="0"/>
            <w:tcW w:w="8770" w:type="dxa"/>
          </w:tcPr>
          <w:p w14:paraId="765B7DC8" w14:textId="77777777" w:rsidR="00DA111E" w:rsidRDefault="00DA111E" w:rsidP="00A808EC">
            <w:pPr>
              <w:pStyle w:val="MeetingTitle"/>
              <w:spacing w:before="0"/>
              <w:jc w:val="center"/>
              <w:rPr>
                <w:rFonts w:ascii="Times New Roman" w:hAnsi="Times New Roman"/>
                <w:color w:val="002060"/>
                <w:sz w:val="40"/>
                <w:szCs w:val="40"/>
              </w:rPr>
            </w:pPr>
            <w:r>
              <w:rPr>
                <w:rFonts w:ascii="Times New Roman" w:hAnsi="Times New Roman"/>
                <w:b/>
                <w:bCs w:val="0"/>
                <w:color w:val="002060"/>
                <w:sz w:val="40"/>
                <w:szCs w:val="40"/>
              </w:rPr>
              <w:t>Republic of Liberia</w:t>
            </w:r>
          </w:p>
          <w:p w14:paraId="2EF54B75" w14:textId="77777777" w:rsidR="00DA111E" w:rsidRDefault="00DA111E" w:rsidP="00A808EC">
            <w:pPr>
              <w:pStyle w:val="MeetingTitle"/>
              <w:spacing w:before="0"/>
              <w:jc w:val="center"/>
              <w:rPr>
                <w:rFonts w:ascii="Times New Roman" w:hAnsi="Times New Roman"/>
                <w:color w:val="76923C"/>
                <w:sz w:val="40"/>
                <w:szCs w:val="40"/>
              </w:rPr>
            </w:pPr>
            <w:r>
              <w:rPr>
                <w:rFonts w:ascii="Times New Roman" w:hAnsi="Times New Roman"/>
                <w:b/>
                <w:bCs w:val="0"/>
                <w:color w:val="76923C"/>
                <w:sz w:val="40"/>
                <w:szCs w:val="40"/>
              </w:rPr>
              <w:t>Ministry of Posts and Telecommunications</w:t>
            </w:r>
          </w:p>
          <w:p w14:paraId="135C8D44" w14:textId="77777777" w:rsidR="00DA111E" w:rsidRPr="00290894" w:rsidRDefault="00DA111E" w:rsidP="00A808EC">
            <w:pPr>
              <w:pStyle w:val="MeetingTitle"/>
              <w:spacing w:before="0"/>
              <w:jc w:val="center"/>
              <w:rPr>
                <w:rFonts w:ascii="Times New Roman" w:hAnsi="Times New Roman"/>
                <w:color w:val="17365D"/>
                <w:sz w:val="34"/>
                <w:szCs w:val="34"/>
              </w:rPr>
            </w:pPr>
            <w:r>
              <w:rPr>
                <w:rFonts w:ascii="Times New Roman" w:hAnsi="Times New Roman"/>
                <w:b/>
                <w:bCs w:val="0"/>
                <w:color w:val="17365D"/>
                <w:sz w:val="34"/>
                <w:szCs w:val="34"/>
              </w:rPr>
              <w:t>Western African Regional Digital Integration Project – Series of Projects 2 Liberia (WARDIP SOP2-Liberia)</w:t>
            </w:r>
          </w:p>
        </w:tc>
      </w:tr>
    </w:tbl>
    <w:p w14:paraId="139E5846" w14:textId="77777777" w:rsidR="00DA111E" w:rsidRDefault="00DA111E" w:rsidP="00DA111E">
      <w:pPr>
        <w:pStyle w:val="NoSpacing"/>
        <w:jc w:val="center"/>
        <w:rPr>
          <w:rFonts w:ascii="Times New Roman" w:hAnsi="Times New Roman"/>
          <w:b/>
          <w:bCs/>
          <w:sz w:val="24"/>
          <w:szCs w:val="24"/>
        </w:rPr>
      </w:pPr>
    </w:p>
    <w:p w14:paraId="3CAD2BFA" w14:textId="77777777" w:rsidR="00DA111E" w:rsidRDefault="00DA111E" w:rsidP="00DA111E">
      <w:pPr>
        <w:pStyle w:val="NoSpacing"/>
        <w:jc w:val="center"/>
        <w:rPr>
          <w:rFonts w:ascii="Times New Roman" w:hAnsi="Times New Roman"/>
          <w:b/>
          <w:bCs/>
          <w:sz w:val="24"/>
          <w:szCs w:val="24"/>
        </w:rPr>
      </w:pPr>
      <w:r>
        <w:rPr>
          <w:rFonts w:ascii="Times New Roman" w:hAnsi="Times New Roman"/>
          <w:b/>
          <w:bCs/>
          <w:sz w:val="24"/>
          <w:szCs w:val="24"/>
        </w:rPr>
        <w:t>Project ID: P500628</w:t>
      </w:r>
    </w:p>
    <w:p w14:paraId="5A7CF8A6" w14:textId="77777777" w:rsidR="00DA111E" w:rsidRDefault="00DA111E" w:rsidP="00DA111E">
      <w:pPr>
        <w:pStyle w:val="NoSpacing"/>
        <w:rPr>
          <w:rFonts w:ascii="Times New Roman" w:hAnsi="Times New Roman"/>
          <w:b/>
          <w:bCs/>
          <w:sz w:val="32"/>
          <w:szCs w:val="32"/>
        </w:rPr>
      </w:pPr>
      <w:bookmarkStart w:id="2" w:name="_Hlk126163398"/>
    </w:p>
    <w:p w14:paraId="075BE88D" w14:textId="77777777" w:rsidR="00DA111E" w:rsidRDefault="00DA111E" w:rsidP="00DA111E">
      <w:pPr>
        <w:pStyle w:val="NoSpacing"/>
        <w:jc w:val="center"/>
        <w:rPr>
          <w:rFonts w:ascii="Times New Roman" w:hAnsi="Times New Roman"/>
          <w:b/>
          <w:bCs/>
          <w:sz w:val="32"/>
          <w:szCs w:val="32"/>
        </w:rPr>
      </w:pPr>
      <w:r>
        <w:rPr>
          <w:rFonts w:ascii="Times New Roman" w:hAnsi="Times New Roman"/>
          <w:b/>
          <w:bCs/>
          <w:sz w:val="32"/>
          <w:szCs w:val="32"/>
        </w:rPr>
        <w:t xml:space="preserve">Terms of Reference </w:t>
      </w:r>
    </w:p>
    <w:p w14:paraId="6BF52071" w14:textId="77777777" w:rsidR="00DA111E" w:rsidRDefault="00DA111E" w:rsidP="00DA111E">
      <w:pPr>
        <w:pStyle w:val="NoSpacing"/>
        <w:jc w:val="center"/>
        <w:rPr>
          <w:rFonts w:ascii="Times New Roman" w:hAnsi="Times New Roman"/>
          <w:bCs/>
          <w:sz w:val="32"/>
          <w:szCs w:val="32"/>
        </w:rPr>
      </w:pPr>
      <w:r>
        <w:rPr>
          <w:rFonts w:ascii="Times New Roman" w:hAnsi="Times New Roman"/>
          <w:bCs/>
          <w:sz w:val="32"/>
          <w:szCs w:val="32"/>
        </w:rPr>
        <w:t xml:space="preserve">For </w:t>
      </w:r>
    </w:p>
    <w:p w14:paraId="2E8A77CC" w14:textId="77777777" w:rsidR="005A0215" w:rsidRPr="005A0215" w:rsidRDefault="00DA111E" w:rsidP="005A0215">
      <w:pPr>
        <w:spacing w:after="0" w:line="240" w:lineRule="auto"/>
        <w:jc w:val="center"/>
        <w:rPr>
          <w:rFonts w:ascii="Times New Roman" w:eastAsiaTheme="minorEastAsia" w:hAnsi="Times New Roman"/>
          <w:sz w:val="28"/>
          <w:szCs w:val="28"/>
        </w:rPr>
      </w:pPr>
      <w:r w:rsidRPr="005A0215">
        <w:rPr>
          <w:rFonts w:ascii="Times New Roman" w:eastAsia="Times New Roman" w:hAnsi="Times New Roman"/>
          <w:color w:val="000000"/>
          <w:sz w:val="32"/>
          <w:szCs w:val="32"/>
        </w:rPr>
        <w:t xml:space="preserve">Recruitment of </w:t>
      </w:r>
      <w:r w:rsidR="001B2967" w:rsidRPr="005A0215">
        <w:rPr>
          <w:rFonts w:ascii="Times New Roman" w:eastAsia="Times New Roman" w:hAnsi="Times New Roman"/>
          <w:color w:val="000000"/>
          <w:sz w:val="32"/>
          <w:szCs w:val="32"/>
        </w:rPr>
        <w:t>a firm</w:t>
      </w:r>
      <w:r w:rsidRPr="005A0215">
        <w:rPr>
          <w:rFonts w:ascii="Times New Roman" w:eastAsia="Times New Roman" w:hAnsi="Times New Roman"/>
          <w:color w:val="000000"/>
          <w:sz w:val="32"/>
          <w:szCs w:val="32"/>
        </w:rPr>
        <w:t xml:space="preserve"> </w:t>
      </w:r>
      <w:r w:rsidR="0018506E" w:rsidRPr="005A0215">
        <w:rPr>
          <w:rFonts w:ascii="Times New Roman" w:eastAsia="Times New Roman" w:hAnsi="Times New Roman"/>
          <w:color w:val="000000"/>
          <w:sz w:val="32"/>
          <w:szCs w:val="32"/>
        </w:rPr>
        <w:t xml:space="preserve">to conduct </w:t>
      </w:r>
      <w:r w:rsidR="005A0215" w:rsidRPr="005A0215">
        <w:rPr>
          <w:rFonts w:ascii="Times New Roman" w:hAnsi="Times New Roman"/>
          <w:sz w:val="28"/>
          <w:szCs w:val="28"/>
        </w:rPr>
        <w:t>Legal &amp; Transaction Advisor for the Structuring and Capitalization of the Amilcar Cabral Cable Consortium of Liberia</w:t>
      </w:r>
      <w:r w:rsidR="005A0215" w:rsidRPr="005A0215">
        <w:rPr>
          <w:rFonts w:ascii="Times New Roman" w:eastAsiaTheme="minorEastAsia" w:hAnsi="Times New Roman"/>
          <w:sz w:val="28"/>
          <w:szCs w:val="28"/>
        </w:rPr>
        <w:t xml:space="preserve"> (AC3-Liberia)</w:t>
      </w:r>
    </w:p>
    <w:p w14:paraId="3D196AD4" w14:textId="112287B5" w:rsidR="0018506E" w:rsidRPr="005A0215" w:rsidRDefault="0018506E" w:rsidP="005A0215">
      <w:pPr>
        <w:pStyle w:val="NoSpacing"/>
        <w:jc w:val="both"/>
        <w:rPr>
          <w:rFonts w:ascii="Times New Roman" w:eastAsia="Times New Roman" w:hAnsi="Times New Roman"/>
          <w:color w:val="000000"/>
          <w:sz w:val="32"/>
          <w:szCs w:val="32"/>
        </w:rPr>
      </w:pPr>
    </w:p>
    <w:tbl>
      <w:tblPr>
        <w:tblStyle w:val="PlainTable21"/>
        <w:tblW w:w="0" w:type="auto"/>
        <w:tblInd w:w="-474" w:type="dxa"/>
        <w:tblLook w:val="04A0" w:firstRow="1" w:lastRow="0" w:firstColumn="1" w:lastColumn="0" w:noHBand="0" w:noVBand="1"/>
      </w:tblPr>
      <w:tblGrid>
        <w:gridCol w:w="3078"/>
        <w:gridCol w:w="6036"/>
      </w:tblGrid>
      <w:tr w:rsidR="001B2967" w:rsidRPr="005A0215" w14:paraId="7E9BB5FF" w14:textId="77777777" w:rsidTr="007268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44E787AE" w14:textId="77777777" w:rsidR="00DA111E" w:rsidRPr="005A0215" w:rsidRDefault="00DA111E" w:rsidP="005A0215">
            <w:pPr>
              <w:pStyle w:val="NoSpacing"/>
              <w:jc w:val="both"/>
              <w:rPr>
                <w:rFonts w:ascii="Times New Roman" w:hAnsi="Times New Roman"/>
                <w:sz w:val="32"/>
                <w:szCs w:val="32"/>
              </w:rPr>
            </w:pPr>
            <w:r w:rsidRPr="005A0215">
              <w:rPr>
                <w:rFonts w:ascii="Times New Roman" w:hAnsi="Times New Roman"/>
                <w:sz w:val="32"/>
                <w:szCs w:val="32"/>
              </w:rPr>
              <w:t>Post Title:</w:t>
            </w:r>
          </w:p>
        </w:tc>
        <w:tc>
          <w:tcPr>
            <w:tcW w:w="6036" w:type="dxa"/>
          </w:tcPr>
          <w:p w14:paraId="014CE938" w14:textId="240110DD" w:rsidR="00DA111E" w:rsidRPr="005A0215" w:rsidRDefault="001B2967" w:rsidP="005A0215">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32"/>
                <w:szCs w:val="32"/>
              </w:rPr>
            </w:pPr>
            <w:r w:rsidRPr="005A0215">
              <w:rPr>
                <w:rFonts w:ascii="Times New Roman" w:hAnsi="Times New Roman"/>
                <w:b w:val="0"/>
                <w:bCs w:val="0"/>
                <w:sz w:val="32"/>
                <w:szCs w:val="32"/>
              </w:rPr>
              <w:t xml:space="preserve">Legal </w:t>
            </w:r>
            <w:r w:rsidR="005A0215" w:rsidRPr="005A0215">
              <w:rPr>
                <w:rFonts w:ascii="Times New Roman" w:hAnsi="Times New Roman"/>
                <w:b w:val="0"/>
                <w:bCs w:val="0"/>
                <w:sz w:val="32"/>
                <w:szCs w:val="32"/>
              </w:rPr>
              <w:t xml:space="preserve">and Transaction </w:t>
            </w:r>
            <w:r w:rsidRPr="005A0215">
              <w:rPr>
                <w:rFonts w:ascii="Times New Roman" w:hAnsi="Times New Roman"/>
                <w:b w:val="0"/>
                <w:bCs w:val="0"/>
                <w:sz w:val="32"/>
                <w:szCs w:val="32"/>
              </w:rPr>
              <w:t>Advisor</w:t>
            </w:r>
            <w:r w:rsidR="005A0215" w:rsidRPr="005A0215">
              <w:rPr>
                <w:rFonts w:ascii="Times New Roman" w:hAnsi="Times New Roman"/>
                <w:b w:val="0"/>
                <w:bCs w:val="0"/>
                <w:sz w:val="32"/>
                <w:szCs w:val="32"/>
              </w:rPr>
              <w:t xml:space="preserve">y </w:t>
            </w:r>
            <w:r w:rsidR="00DA111E" w:rsidRPr="005A0215">
              <w:rPr>
                <w:rFonts w:ascii="Times New Roman" w:hAnsi="Times New Roman"/>
                <w:b w:val="0"/>
                <w:bCs w:val="0"/>
                <w:sz w:val="32"/>
                <w:szCs w:val="32"/>
              </w:rPr>
              <w:t xml:space="preserve">Consultant for </w:t>
            </w:r>
            <w:r w:rsidRPr="005A0215">
              <w:rPr>
                <w:rFonts w:ascii="Times New Roman" w:hAnsi="Times New Roman"/>
                <w:b w:val="0"/>
                <w:bCs w:val="0"/>
                <w:sz w:val="32"/>
                <w:szCs w:val="32"/>
              </w:rPr>
              <w:t>AC3-Liberia</w:t>
            </w:r>
            <w:r w:rsidR="008B2929" w:rsidRPr="005A0215">
              <w:rPr>
                <w:rFonts w:ascii="Times New Roman" w:hAnsi="Times New Roman"/>
                <w:b w:val="0"/>
                <w:bCs w:val="0"/>
                <w:sz w:val="32"/>
                <w:szCs w:val="32"/>
              </w:rPr>
              <w:t>.</w:t>
            </w:r>
          </w:p>
        </w:tc>
      </w:tr>
      <w:tr w:rsidR="001B2967" w:rsidRPr="005A0215" w14:paraId="4327829E" w14:textId="77777777" w:rsidTr="00726825">
        <w:tc>
          <w:tcPr>
            <w:cnfStyle w:val="001000000000" w:firstRow="0" w:lastRow="0" w:firstColumn="1" w:lastColumn="0" w:oddVBand="0" w:evenVBand="0" w:oddHBand="0" w:evenHBand="0" w:firstRowFirstColumn="0" w:firstRowLastColumn="0" w:lastRowFirstColumn="0" w:lastRowLastColumn="0"/>
            <w:tcW w:w="3078" w:type="dxa"/>
            <w:tcBorders>
              <w:top w:val="single" w:sz="4" w:space="0" w:color="7F7F7F" w:themeColor="text1" w:themeTint="80"/>
              <w:bottom w:val="single" w:sz="4" w:space="0" w:color="7F7F7F" w:themeColor="text1" w:themeTint="80"/>
            </w:tcBorders>
          </w:tcPr>
          <w:p w14:paraId="36A201BB" w14:textId="77777777" w:rsidR="00DA111E" w:rsidRPr="005A0215" w:rsidRDefault="00DA111E" w:rsidP="005A0215">
            <w:pPr>
              <w:pStyle w:val="NoSpacing"/>
              <w:jc w:val="both"/>
              <w:rPr>
                <w:rFonts w:ascii="Times New Roman" w:hAnsi="Times New Roman"/>
                <w:sz w:val="32"/>
                <w:szCs w:val="32"/>
              </w:rPr>
            </w:pPr>
            <w:r w:rsidRPr="005A0215">
              <w:rPr>
                <w:rFonts w:ascii="Times New Roman" w:hAnsi="Times New Roman"/>
                <w:sz w:val="32"/>
                <w:szCs w:val="32"/>
              </w:rPr>
              <w:t>Location of Post:</w:t>
            </w:r>
          </w:p>
        </w:tc>
        <w:tc>
          <w:tcPr>
            <w:tcW w:w="6036" w:type="dxa"/>
            <w:tcBorders>
              <w:top w:val="single" w:sz="4" w:space="0" w:color="7F7F7F" w:themeColor="text1" w:themeTint="80"/>
              <w:bottom w:val="single" w:sz="4" w:space="0" w:color="7F7F7F" w:themeColor="text1" w:themeTint="80"/>
            </w:tcBorders>
          </w:tcPr>
          <w:p w14:paraId="00293F53" w14:textId="77777777" w:rsidR="00DA111E" w:rsidRPr="005A0215" w:rsidRDefault="00DA111E" w:rsidP="005A0215">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32"/>
                <w:szCs w:val="32"/>
              </w:rPr>
            </w:pPr>
            <w:r w:rsidRPr="005A0215">
              <w:rPr>
                <w:rFonts w:ascii="Times New Roman" w:eastAsiaTheme="minorEastAsia" w:hAnsi="Times New Roman"/>
                <w:sz w:val="32"/>
                <w:szCs w:val="32"/>
              </w:rPr>
              <w:t>Monrovia, Liberia</w:t>
            </w:r>
          </w:p>
          <w:p w14:paraId="496F0534" w14:textId="77777777" w:rsidR="00DA111E" w:rsidRPr="005A0215" w:rsidRDefault="00DA111E"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p>
        </w:tc>
      </w:tr>
      <w:tr w:rsidR="001B2967" w:rsidRPr="005A0215" w14:paraId="3322EE23" w14:textId="77777777" w:rsidTr="00726825">
        <w:tc>
          <w:tcPr>
            <w:cnfStyle w:val="001000000000" w:firstRow="0" w:lastRow="0" w:firstColumn="1" w:lastColumn="0" w:oddVBand="0" w:evenVBand="0" w:oddHBand="0" w:evenHBand="0" w:firstRowFirstColumn="0" w:firstRowLastColumn="0" w:lastRowFirstColumn="0" w:lastRowLastColumn="0"/>
            <w:tcW w:w="3078" w:type="dxa"/>
          </w:tcPr>
          <w:p w14:paraId="5DCAD0BF" w14:textId="77777777" w:rsidR="00DA111E" w:rsidRPr="005A0215" w:rsidRDefault="00DA111E" w:rsidP="005A0215">
            <w:pPr>
              <w:pStyle w:val="NoSpacing"/>
              <w:jc w:val="both"/>
              <w:rPr>
                <w:rFonts w:ascii="Times New Roman" w:hAnsi="Times New Roman"/>
                <w:sz w:val="32"/>
                <w:szCs w:val="32"/>
              </w:rPr>
            </w:pPr>
            <w:r w:rsidRPr="005A0215">
              <w:rPr>
                <w:rFonts w:ascii="Times New Roman" w:hAnsi="Times New Roman"/>
                <w:sz w:val="32"/>
                <w:szCs w:val="32"/>
              </w:rPr>
              <w:t>Contract Duration:</w:t>
            </w:r>
          </w:p>
        </w:tc>
        <w:tc>
          <w:tcPr>
            <w:tcW w:w="6036" w:type="dxa"/>
          </w:tcPr>
          <w:p w14:paraId="48B71810" w14:textId="6865988C" w:rsidR="00DA111E" w:rsidRPr="005A0215" w:rsidRDefault="001D1095"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Pr>
                <w:rFonts w:ascii="Times New Roman" w:hAnsi="Times New Roman"/>
                <w:sz w:val="32"/>
                <w:szCs w:val="32"/>
              </w:rPr>
              <w:t>36</w:t>
            </w:r>
            <w:r w:rsidR="00DA111E" w:rsidRPr="005A0215">
              <w:rPr>
                <w:rFonts w:ascii="Times New Roman" w:hAnsi="Times New Roman"/>
                <w:sz w:val="32"/>
                <w:szCs w:val="32"/>
              </w:rPr>
              <w:t xml:space="preserve"> weeks</w:t>
            </w:r>
          </w:p>
        </w:tc>
      </w:tr>
      <w:tr w:rsidR="001B2967" w:rsidRPr="005A0215" w14:paraId="1819D72E" w14:textId="77777777" w:rsidTr="00726825">
        <w:tc>
          <w:tcPr>
            <w:cnfStyle w:val="001000000000" w:firstRow="0" w:lastRow="0" w:firstColumn="1" w:lastColumn="0" w:oddVBand="0" w:evenVBand="0" w:oddHBand="0" w:evenHBand="0" w:firstRowFirstColumn="0" w:firstRowLastColumn="0" w:lastRowFirstColumn="0" w:lastRowLastColumn="0"/>
            <w:tcW w:w="3078" w:type="dxa"/>
            <w:tcBorders>
              <w:top w:val="single" w:sz="4" w:space="0" w:color="7F7F7F" w:themeColor="text1" w:themeTint="80"/>
              <w:bottom w:val="single" w:sz="4" w:space="0" w:color="7F7F7F" w:themeColor="text1" w:themeTint="80"/>
            </w:tcBorders>
          </w:tcPr>
          <w:p w14:paraId="5E1683C3" w14:textId="77777777" w:rsidR="00DA111E" w:rsidRPr="005A0215" w:rsidRDefault="00DA111E" w:rsidP="005A0215">
            <w:pPr>
              <w:pStyle w:val="NoSpacing"/>
              <w:jc w:val="both"/>
              <w:rPr>
                <w:rFonts w:ascii="Times New Roman" w:hAnsi="Times New Roman"/>
                <w:sz w:val="32"/>
                <w:szCs w:val="32"/>
              </w:rPr>
            </w:pPr>
            <w:r w:rsidRPr="005A0215">
              <w:rPr>
                <w:rFonts w:ascii="Times New Roman" w:hAnsi="Times New Roman"/>
                <w:sz w:val="32"/>
                <w:szCs w:val="32"/>
              </w:rPr>
              <w:t>Reporting Line:</w:t>
            </w:r>
          </w:p>
        </w:tc>
        <w:tc>
          <w:tcPr>
            <w:tcW w:w="6036" w:type="dxa"/>
            <w:tcBorders>
              <w:top w:val="single" w:sz="4" w:space="0" w:color="7F7F7F" w:themeColor="text1" w:themeTint="80"/>
              <w:bottom w:val="single" w:sz="4" w:space="0" w:color="7F7F7F" w:themeColor="text1" w:themeTint="80"/>
            </w:tcBorders>
          </w:tcPr>
          <w:p w14:paraId="20C9C1E2" w14:textId="77777777" w:rsidR="00DA111E" w:rsidRPr="005A0215" w:rsidRDefault="00DA111E"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sz w:val="32"/>
                <w:szCs w:val="32"/>
                <w:lang w:eastAsia="ko-KR"/>
              </w:rPr>
            </w:pPr>
            <w:r w:rsidRPr="005A0215">
              <w:rPr>
                <w:rFonts w:ascii="Times New Roman" w:hAnsi="Times New Roman"/>
                <w:sz w:val="32"/>
                <w:szCs w:val="32"/>
              </w:rPr>
              <w:t>WARDIP Liberia/PIU through the PIU Coordinator</w:t>
            </w:r>
          </w:p>
          <w:p w14:paraId="771FC01C" w14:textId="77777777" w:rsidR="00DA111E" w:rsidRPr="005A0215" w:rsidRDefault="00DA111E"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p>
        </w:tc>
      </w:tr>
      <w:tr w:rsidR="001B2967" w:rsidRPr="005A0215" w14:paraId="53F66C20" w14:textId="77777777" w:rsidTr="00726825">
        <w:tc>
          <w:tcPr>
            <w:cnfStyle w:val="001000000000" w:firstRow="0" w:lastRow="0" w:firstColumn="1" w:lastColumn="0" w:oddVBand="0" w:evenVBand="0" w:oddHBand="0" w:evenHBand="0" w:firstRowFirstColumn="0" w:firstRowLastColumn="0" w:lastRowFirstColumn="0" w:lastRowLastColumn="0"/>
            <w:tcW w:w="3078" w:type="dxa"/>
          </w:tcPr>
          <w:p w14:paraId="3260AD7E" w14:textId="77777777" w:rsidR="00DA111E" w:rsidRPr="005A0215" w:rsidRDefault="00DA111E" w:rsidP="005A0215">
            <w:pPr>
              <w:pStyle w:val="NoSpacing"/>
              <w:jc w:val="both"/>
              <w:rPr>
                <w:rFonts w:ascii="Times New Roman" w:hAnsi="Times New Roman"/>
                <w:sz w:val="32"/>
                <w:szCs w:val="32"/>
              </w:rPr>
            </w:pPr>
            <w:r w:rsidRPr="005A0215">
              <w:rPr>
                <w:rFonts w:ascii="Times New Roman" w:hAnsi="Times New Roman"/>
                <w:sz w:val="32"/>
                <w:szCs w:val="32"/>
              </w:rPr>
              <w:t>Recruitment Type:</w:t>
            </w:r>
          </w:p>
        </w:tc>
        <w:tc>
          <w:tcPr>
            <w:tcW w:w="6036" w:type="dxa"/>
          </w:tcPr>
          <w:p w14:paraId="13A27B62" w14:textId="77777777" w:rsidR="00DA111E" w:rsidRDefault="00DA111E"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sidRPr="005A0215">
              <w:rPr>
                <w:rFonts w:ascii="Times New Roman" w:hAnsi="Times New Roman"/>
                <w:sz w:val="32"/>
                <w:szCs w:val="32"/>
              </w:rPr>
              <w:t>Local</w:t>
            </w:r>
          </w:p>
          <w:p w14:paraId="2BF43DDF" w14:textId="0F4E472B" w:rsidR="00726825" w:rsidRPr="00726825" w:rsidRDefault="00726825"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p>
        </w:tc>
      </w:tr>
      <w:tr w:rsidR="001B2967" w:rsidRPr="005A0215" w14:paraId="55444B11" w14:textId="77777777" w:rsidTr="00726825">
        <w:tc>
          <w:tcPr>
            <w:cnfStyle w:val="001000000000" w:firstRow="0" w:lastRow="0" w:firstColumn="1" w:lastColumn="0" w:oddVBand="0" w:evenVBand="0" w:oddHBand="0" w:evenHBand="0" w:firstRowFirstColumn="0" w:firstRowLastColumn="0" w:lastRowFirstColumn="0" w:lastRowLastColumn="0"/>
            <w:tcW w:w="3078" w:type="dxa"/>
            <w:tcBorders>
              <w:top w:val="single" w:sz="4" w:space="0" w:color="7F7F7F" w:themeColor="text1" w:themeTint="80"/>
              <w:bottom w:val="single" w:sz="4" w:space="0" w:color="7F7F7F" w:themeColor="text1" w:themeTint="80"/>
            </w:tcBorders>
          </w:tcPr>
          <w:p w14:paraId="2F9EF8D8" w14:textId="77777777" w:rsidR="00DA111E" w:rsidRPr="005A0215" w:rsidRDefault="00DA111E" w:rsidP="005A0215">
            <w:pPr>
              <w:pStyle w:val="NoSpacing"/>
              <w:jc w:val="both"/>
              <w:rPr>
                <w:rFonts w:ascii="Times New Roman" w:hAnsi="Times New Roman"/>
                <w:sz w:val="32"/>
                <w:szCs w:val="32"/>
              </w:rPr>
            </w:pPr>
            <w:r w:rsidRPr="005A0215">
              <w:rPr>
                <w:rFonts w:ascii="Times New Roman" w:hAnsi="Times New Roman"/>
                <w:sz w:val="32"/>
                <w:szCs w:val="32"/>
              </w:rPr>
              <w:t>Type of Contract</w:t>
            </w:r>
          </w:p>
        </w:tc>
        <w:tc>
          <w:tcPr>
            <w:tcW w:w="6036" w:type="dxa"/>
            <w:tcBorders>
              <w:top w:val="single" w:sz="4" w:space="0" w:color="7F7F7F" w:themeColor="text1" w:themeTint="80"/>
              <w:bottom w:val="single" w:sz="4" w:space="0" w:color="7F7F7F" w:themeColor="text1" w:themeTint="80"/>
            </w:tcBorders>
          </w:tcPr>
          <w:p w14:paraId="00BD3B8F" w14:textId="5CF26FA3" w:rsidR="00DA111E" w:rsidRPr="005A0215" w:rsidRDefault="005A0215"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Pr>
                <w:rFonts w:ascii="Times New Roman" w:eastAsia="Malgun Gothic" w:hAnsi="Times New Roman"/>
                <w:sz w:val="32"/>
                <w:szCs w:val="32"/>
                <w:bdr w:val="single" w:sz="4" w:space="0" w:color="auto"/>
                <w:lang w:eastAsia="ko-KR"/>
              </w:rPr>
              <w:t xml:space="preserve">  </w:t>
            </w:r>
            <w:r w:rsidR="00DA111E" w:rsidRPr="005A0215">
              <w:rPr>
                <w:rFonts w:ascii="Times New Roman" w:eastAsia="Malgun Gothic" w:hAnsi="Times New Roman"/>
                <w:sz w:val="32"/>
                <w:szCs w:val="32"/>
                <w:bdr w:val="single" w:sz="4" w:space="0" w:color="auto"/>
                <w:lang w:eastAsia="ko-KR"/>
              </w:rPr>
              <w:t xml:space="preserve"> </w:t>
            </w:r>
            <w:r w:rsidR="00DA111E" w:rsidRPr="005A0215">
              <w:rPr>
                <w:rFonts w:ascii="Times New Roman" w:eastAsia="Malgun Gothic" w:hAnsi="Times New Roman"/>
                <w:sz w:val="32"/>
                <w:szCs w:val="32"/>
                <w:lang w:eastAsia="ko-KR"/>
              </w:rPr>
              <w:t xml:space="preserve"> </w:t>
            </w:r>
            <w:r w:rsidR="00DA111E" w:rsidRPr="005A0215">
              <w:rPr>
                <w:rFonts w:ascii="Times New Roman" w:hAnsi="Times New Roman"/>
                <w:sz w:val="32"/>
                <w:szCs w:val="32"/>
              </w:rPr>
              <w:t>Individual Consultant</w:t>
            </w:r>
          </w:p>
          <w:p w14:paraId="76A27C31" w14:textId="6394C264" w:rsidR="00DA111E" w:rsidRPr="005A0215" w:rsidRDefault="005A0215"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Pr>
                <w:rFonts w:ascii="Times New Roman" w:eastAsia="Malgun Gothic" w:hAnsi="Times New Roman"/>
                <w:sz w:val="32"/>
                <w:szCs w:val="32"/>
                <w:bdr w:val="single" w:sz="4" w:space="0" w:color="auto"/>
                <w:lang w:eastAsia="ko-KR"/>
              </w:rPr>
              <w:t>X</w:t>
            </w:r>
            <w:r w:rsidR="00DA111E" w:rsidRPr="005A0215">
              <w:rPr>
                <w:rFonts w:ascii="Times New Roman" w:eastAsia="Malgun Gothic" w:hAnsi="Times New Roman"/>
                <w:sz w:val="32"/>
                <w:szCs w:val="32"/>
                <w:lang w:eastAsia="ko-KR"/>
              </w:rPr>
              <w:t xml:space="preserve"> </w:t>
            </w:r>
            <w:r w:rsidR="00DA111E" w:rsidRPr="005A0215">
              <w:rPr>
                <w:rFonts w:ascii="Times New Roman" w:hAnsi="Times New Roman"/>
                <w:sz w:val="32"/>
                <w:szCs w:val="32"/>
              </w:rPr>
              <w:t>Consulting Firm (QCBS, CQS, LCS)</w:t>
            </w:r>
          </w:p>
          <w:p w14:paraId="52835A30" w14:textId="5BB1B3FA" w:rsidR="00DA111E" w:rsidRPr="005A0215" w:rsidRDefault="00DA111E"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sidRPr="005A0215">
              <w:rPr>
                <w:rFonts w:ascii="Times New Roman" w:eastAsia="Malgun Gothic" w:hAnsi="Times New Roman"/>
                <w:sz w:val="32"/>
                <w:szCs w:val="32"/>
                <w:bdr w:val="single" w:sz="4" w:space="0" w:color="auto"/>
                <w:lang w:eastAsia="ko-KR"/>
              </w:rPr>
              <w:t xml:space="preserve">   </w:t>
            </w:r>
            <w:r w:rsidRPr="005A0215">
              <w:rPr>
                <w:rFonts w:ascii="Times New Roman" w:eastAsia="Malgun Gothic" w:hAnsi="Times New Roman"/>
                <w:sz w:val="32"/>
                <w:szCs w:val="32"/>
                <w:lang w:eastAsia="ko-KR"/>
              </w:rPr>
              <w:t xml:space="preserve"> </w:t>
            </w:r>
            <w:r w:rsidRPr="005A0215">
              <w:rPr>
                <w:rFonts w:ascii="Times New Roman" w:hAnsi="Times New Roman"/>
                <w:sz w:val="32"/>
                <w:szCs w:val="32"/>
              </w:rPr>
              <w:t>Non-Consulting Service (Competitive Bidding)</w:t>
            </w:r>
          </w:p>
          <w:p w14:paraId="1427C885" w14:textId="77777777" w:rsidR="00DA111E" w:rsidRPr="005A0215" w:rsidRDefault="00DA111E" w:rsidP="005A021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p>
        </w:tc>
      </w:tr>
    </w:tbl>
    <w:p w14:paraId="25161302" w14:textId="77777777" w:rsidR="008B2929" w:rsidRPr="005A0215" w:rsidRDefault="008B2929" w:rsidP="005A0215">
      <w:pPr>
        <w:pStyle w:val="NoSpacing"/>
        <w:spacing w:line="276" w:lineRule="auto"/>
        <w:jc w:val="both"/>
        <w:rPr>
          <w:rFonts w:ascii="Times New Roman" w:hAnsi="Times New Roman"/>
          <w:b/>
          <w:bCs/>
          <w:color w:val="000000" w:themeColor="text1"/>
          <w:sz w:val="24"/>
          <w:szCs w:val="24"/>
        </w:rPr>
      </w:pPr>
    </w:p>
    <w:p w14:paraId="0B0F6468" w14:textId="77777777" w:rsidR="00DA111E" w:rsidRPr="005A0215" w:rsidRDefault="00DA111E" w:rsidP="005A0215">
      <w:pPr>
        <w:pStyle w:val="NoSpacing"/>
        <w:spacing w:line="276" w:lineRule="auto"/>
        <w:jc w:val="both"/>
        <w:rPr>
          <w:rFonts w:ascii="Times New Roman" w:hAnsi="Times New Roman"/>
          <w:b/>
          <w:bCs/>
          <w:color w:val="000000" w:themeColor="text1"/>
          <w:sz w:val="24"/>
          <w:szCs w:val="24"/>
        </w:rPr>
      </w:pPr>
      <w:bookmarkStart w:id="3" w:name="_Hlk126225821"/>
      <w:r w:rsidRPr="005A0215">
        <w:rPr>
          <w:rFonts w:ascii="Times New Roman" w:hAnsi="Times New Roman"/>
          <w:b/>
          <w:bCs/>
          <w:color w:val="000000" w:themeColor="text1"/>
          <w:sz w:val="24"/>
          <w:szCs w:val="24"/>
        </w:rPr>
        <w:t>1. PROJECT BACKGROUND</w:t>
      </w:r>
    </w:p>
    <w:bookmarkEnd w:id="0"/>
    <w:bookmarkEnd w:id="2"/>
    <w:bookmarkEnd w:id="3"/>
    <w:p w14:paraId="688B9803" w14:textId="77777777" w:rsidR="00DA111E" w:rsidRPr="005A0215" w:rsidRDefault="00DA111E" w:rsidP="005A0215">
      <w:pPr>
        <w:pStyle w:val="NoSpacing"/>
        <w:spacing w:line="276" w:lineRule="auto"/>
        <w:jc w:val="both"/>
        <w:rPr>
          <w:rFonts w:ascii="Times New Roman" w:hAnsi="Times New Roman"/>
          <w:sz w:val="24"/>
          <w:szCs w:val="24"/>
        </w:rPr>
      </w:pPr>
    </w:p>
    <w:p w14:paraId="4E5387B3" w14:textId="77777777" w:rsidR="00DA111E" w:rsidRPr="005A0215" w:rsidRDefault="00DA111E" w:rsidP="005A0215">
      <w:p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color w:val="000000" w:themeColor="text1"/>
          <w:sz w:val="24"/>
          <w:szCs w:val="24"/>
        </w:rPr>
        <w:t>The Government of Liberia (GoL) has received financing from the World Bank for the preparation of the West Africa Regional Digital Integration Project - Series of Projects 2 Liberia (WARDIP SOP2-Liberia). This project, which will be implemented at the national level, seeks to facilitate increased broadband access and usage in preparation for regional digital markets integration in West Africa.</w:t>
      </w:r>
    </w:p>
    <w:p w14:paraId="7589CB58" w14:textId="77777777" w:rsidR="00DA111E" w:rsidRPr="005A0215" w:rsidRDefault="00DA111E" w:rsidP="005A0215">
      <w:pPr>
        <w:spacing w:after="0"/>
        <w:jc w:val="both"/>
        <w:rPr>
          <w:rFonts w:ascii="Times New Roman" w:eastAsia="Malgun Gothic" w:hAnsi="Times New Roman"/>
          <w:color w:val="000000" w:themeColor="text1"/>
          <w:sz w:val="24"/>
          <w:szCs w:val="24"/>
          <w:lang w:eastAsia="ko-KR"/>
        </w:rPr>
      </w:pPr>
    </w:p>
    <w:p w14:paraId="424AEFB2" w14:textId="77777777" w:rsidR="00DA111E" w:rsidRPr="005A0215" w:rsidRDefault="00DA111E" w:rsidP="005A0215">
      <w:pPr>
        <w:spacing w:after="0"/>
        <w:jc w:val="both"/>
        <w:rPr>
          <w:rFonts w:ascii="Times New Roman" w:hAnsi="Times New Roman"/>
          <w:color w:val="000000" w:themeColor="text1"/>
        </w:rPr>
      </w:pPr>
      <w:r w:rsidRPr="005A0215">
        <w:rPr>
          <w:rFonts w:ascii="Times New Roman" w:eastAsia="Times New Roman" w:hAnsi="Times New Roman"/>
          <w:color w:val="000000" w:themeColor="text1"/>
          <w:sz w:val="24"/>
          <w:szCs w:val="24"/>
        </w:rPr>
        <w:t xml:space="preserve">WARDIP SOP2-Liberia is the second phase of the Western Africa Regional Development Integration Program series of projects (DTfA – WARDIP), which builds consensus and momentum around the vision for achieving a Single Digital Market (SDM) in Africa. It is envisioned that the project will lead to an increased secure flow of digital services within and between participating countries in Western Africa. By the end of the SOP, foundations of a SDM in Western Africa in line with the AU SDM are expected to be in place. </w:t>
      </w:r>
    </w:p>
    <w:p w14:paraId="4FDA5BE6" w14:textId="77777777" w:rsidR="00DA111E" w:rsidRPr="005A0215" w:rsidRDefault="00DA111E" w:rsidP="005A0215">
      <w:pPr>
        <w:spacing w:after="0"/>
        <w:jc w:val="both"/>
        <w:rPr>
          <w:rFonts w:ascii="Times New Roman" w:eastAsia="Times New Roman" w:hAnsi="Times New Roman"/>
          <w:color w:val="000000" w:themeColor="text1"/>
          <w:sz w:val="24"/>
          <w:szCs w:val="24"/>
        </w:rPr>
      </w:pPr>
    </w:p>
    <w:p w14:paraId="07047767" w14:textId="77777777" w:rsidR="00DA111E" w:rsidRPr="005A0215" w:rsidRDefault="00DA111E" w:rsidP="005A0215">
      <w:pPr>
        <w:pStyle w:val="paragraph"/>
        <w:spacing w:before="0" w:beforeAutospacing="0" w:after="0" w:afterAutospacing="0" w:line="276" w:lineRule="auto"/>
        <w:jc w:val="both"/>
        <w:rPr>
          <w:color w:val="000000" w:themeColor="text1"/>
        </w:rPr>
      </w:pPr>
      <w:r w:rsidRPr="005A0215">
        <w:rPr>
          <w:color w:val="000000" w:themeColor="text1"/>
        </w:rPr>
        <w:t xml:space="preserve">WARDIP SOP2 builds on, and will run parallel to, investments in DTfA/WARDIP SOP1, further extending cross-border and backbone connectivity, data markets and online market environment in additional countries. It aims to increase broadband access and usage in participating countries and to advance the integration of digital markets in Western Africa and is structured to have 5 components. </w:t>
      </w:r>
    </w:p>
    <w:p w14:paraId="51654CA9" w14:textId="77777777" w:rsidR="00DA111E" w:rsidRPr="005A0215" w:rsidRDefault="00DA111E" w:rsidP="005A0215">
      <w:pPr>
        <w:spacing w:after="0"/>
        <w:jc w:val="both"/>
        <w:rPr>
          <w:rFonts w:ascii="Times New Roman" w:eastAsia="Times New Roman" w:hAnsi="Times New Roman"/>
          <w:color w:val="000000" w:themeColor="text1"/>
        </w:rPr>
      </w:pPr>
    </w:p>
    <w:p w14:paraId="363AC99C" w14:textId="77777777" w:rsidR="00DA111E" w:rsidRPr="005A0215" w:rsidRDefault="00DA111E" w:rsidP="005A0215">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Component I. Connectivity Market Development and Integration</w:t>
      </w:r>
      <w:r w:rsidRPr="005A0215">
        <w:rPr>
          <w:rFonts w:ascii="Times New Roman" w:eastAsia="Times New Roman" w:hAnsi="Times New Roman"/>
          <w:b/>
          <w:bCs/>
          <w:color w:val="000000" w:themeColor="text1"/>
          <w:sz w:val="24"/>
          <w:szCs w:val="24"/>
          <w:lang w:val="en-GB"/>
        </w:rPr>
        <w:t xml:space="preserve">: </w:t>
      </w:r>
      <w:r w:rsidRPr="005A0215">
        <w:rPr>
          <w:rFonts w:ascii="Times New Roman" w:eastAsia="Times New Roman" w:hAnsi="Times New Roman"/>
          <w:color w:val="000000" w:themeColor="text1"/>
          <w:sz w:val="24"/>
          <w:szCs w:val="24"/>
          <w:lang w:val="en-GB"/>
        </w:rPr>
        <w:t xml:space="preserve">This component aims to provide infrastructure financing and support for an enhanced enabling environment to develop the regional broadband connectivity market. </w:t>
      </w:r>
    </w:p>
    <w:p w14:paraId="085533D3" w14:textId="77777777" w:rsidR="00DA111E" w:rsidRPr="005A0215" w:rsidRDefault="00DA111E" w:rsidP="005A0215">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Component II: Data Market Development and Integration</w:t>
      </w:r>
      <w:r w:rsidRPr="005A0215">
        <w:rPr>
          <w:rFonts w:ascii="Times New Roman" w:eastAsia="Times New Roman" w:hAnsi="Times New Roman"/>
          <w:b/>
          <w:bCs/>
          <w:color w:val="000000" w:themeColor="text1"/>
          <w:sz w:val="24"/>
          <w:szCs w:val="24"/>
          <w:lang w:val="en-GB"/>
        </w:rPr>
        <w:t xml:space="preserve">: </w:t>
      </w:r>
      <w:r w:rsidRPr="005A0215">
        <w:rPr>
          <w:rFonts w:ascii="Times New Roman" w:eastAsia="Times New Roman" w:hAnsi="Times New Roman"/>
          <w:color w:val="000000" w:themeColor="text1"/>
          <w:sz w:val="24"/>
          <w:szCs w:val="24"/>
          <w:lang w:val="en-GB"/>
        </w:rPr>
        <w:t xml:space="preserve">This component aims to build trust in online transactions and strengthen the security and resilience of digital infrastructure and systems, focused on </w:t>
      </w:r>
      <w:r w:rsidRPr="005A0215">
        <w:rPr>
          <w:rFonts w:ascii="Times New Roman" w:eastAsia="Times New Roman" w:hAnsi="Times New Roman"/>
          <w:color w:val="000000" w:themeColor="text1"/>
          <w:sz w:val="24"/>
          <w:szCs w:val="24"/>
        </w:rPr>
        <w:t>focuses on enabling secure, cross-border data exchange, storage, and processing to support regional access to data-driven services, innovation, and infrastructure.</w:t>
      </w:r>
      <w:r w:rsidRPr="005A0215">
        <w:rPr>
          <w:rFonts w:ascii="Times New Roman" w:eastAsia="Times New Roman" w:hAnsi="Times New Roman"/>
          <w:color w:val="000000" w:themeColor="text1"/>
          <w:sz w:val="24"/>
          <w:szCs w:val="24"/>
          <w:lang w:val="en-GB"/>
        </w:rPr>
        <w:t xml:space="preserve"> </w:t>
      </w:r>
    </w:p>
    <w:p w14:paraId="47B1EA70" w14:textId="77777777" w:rsidR="00DA111E" w:rsidRPr="005A0215" w:rsidRDefault="00DA111E" w:rsidP="005A0215">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Component III. Online Market Development and Integration:</w:t>
      </w:r>
      <w:r w:rsidRPr="005A0215">
        <w:rPr>
          <w:rFonts w:ascii="Times New Roman" w:eastAsia="Times New Roman" w:hAnsi="Times New Roman"/>
          <w:b/>
          <w:bCs/>
          <w:color w:val="000000" w:themeColor="text1"/>
          <w:sz w:val="24"/>
          <w:szCs w:val="24"/>
          <w:lang w:val="en-GB"/>
        </w:rPr>
        <w:t xml:space="preserve"> </w:t>
      </w:r>
      <w:r w:rsidRPr="005A0215">
        <w:rPr>
          <w:rFonts w:ascii="Times New Roman" w:eastAsia="Times New Roman" w:hAnsi="Times New Roman"/>
          <w:color w:val="000000" w:themeColor="text1"/>
          <w:sz w:val="24"/>
          <w:szCs w:val="24"/>
          <w:lang w:val="en-GB"/>
        </w:rPr>
        <w:t xml:space="preserve">This component aims to support the development of a robust regional online market, with a focus on boosting service uptake for an integrated SDM. </w:t>
      </w:r>
    </w:p>
    <w:p w14:paraId="0F7B9ACA" w14:textId="77777777" w:rsidR="00DA111E" w:rsidRPr="005A0215" w:rsidRDefault="00DA111E" w:rsidP="005A0215">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 xml:space="preserve">Component IV. Project Management and Implementation Support. </w:t>
      </w:r>
      <w:r w:rsidRPr="005A0215">
        <w:rPr>
          <w:rFonts w:ascii="Times New Roman" w:eastAsia="Times New Roman" w:hAnsi="Times New Roman"/>
          <w:color w:val="000000" w:themeColor="text1"/>
          <w:sz w:val="24"/>
          <w:szCs w:val="24"/>
          <w:lang w:val="en-GB"/>
        </w:rPr>
        <w:t>This component would provide technical assistance and capacity support for program preparation and implementation.</w:t>
      </w:r>
    </w:p>
    <w:p w14:paraId="13EDF188" w14:textId="77777777" w:rsidR="00DA111E" w:rsidRPr="005A0215" w:rsidRDefault="00DA111E" w:rsidP="005A0215">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 xml:space="preserve">Component V. Contingent Emergency Response. </w:t>
      </w:r>
      <w:r w:rsidRPr="005A0215">
        <w:rPr>
          <w:rFonts w:ascii="Times New Roman" w:eastAsia="Times New Roman" w:hAnsi="Times New Roman"/>
          <w:color w:val="000000" w:themeColor="text1"/>
          <w:sz w:val="24"/>
          <w:szCs w:val="24"/>
          <w:lang w:val="en-GB"/>
        </w:rPr>
        <w:t>The component is included to help participating countries respond swiftly to eligible crises and emergencies, in case of urgent need of assistance or capacity constraints.</w:t>
      </w:r>
    </w:p>
    <w:p w14:paraId="323FD8C1" w14:textId="77777777" w:rsidR="00854481" w:rsidRPr="005A0215" w:rsidRDefault="00854481" w:rsidP="005A0215">
      <w:pPr>
        <w:spacing w:after="0"/>
        <w:jc w:val="both"/>
        <w:rPr>
          <w:rFonts w:ascii="Times New Roman" w:eastAsia="Times New Roman" w:hAnsi="Times New Roman"/>
          <w:color w:val="000000" w:themeColor="text1"/>
          <w:sz w:val="24"/>
          <w:szCs w:val="24"/>
        </w:rPr>
      </w:pPr>
    </w:p>
    <w:p w14:paraId="48E5C03F" w14:textId="77777777" w:rsidR="005A0215" w:rsidRPr="005A0215" w:rsidRDefault="005A0215" w:rsidP="005A0215">
      <w:pPr>
        <w:spacing w:after="0" w:line="240" w:lineRule="auto"/>
        <w:jc w:val="both"/>
        <w:rPr>
          <w:rFonts w:ascii="Times New Roman" w:hAnsi="Times New Roman"/>
          <w:sz w:val="24"/>
          <w:szCs w:val="24"/>
        </w:rPr>
      </w:pPr>
      <w:r w:rsidRPr="005A0215">
        <w:rPr>
          <w:rFonts w:ascii="Times New Roman" w:hAnsi="Times New Roman"/>
          <w:sz w:val="24"/>
          <w:szCs w:val="24"/>
        </w:rPr>
        <w:t>Access to affordable, reliable, and resilient international internet connectivity is essential for Liberia’s digital transformation, economic growth, and social inclusion. Over the past decade, Liberia has significantly strengthened its digital infrastructure through its connection to the Africa Coast to Europe (ACE) submarine cable system, financed under the World Bank–supported West Africa Regional Communications Infrastructure Program (WARCIP). The ACE system has substantially expanded international bandwidth capacity, reduced wholesale prices, and enabled growth across Liberia’s digital economy.</w:t>
      </w:r>
    </w:p>
    <w:p w14:paraId="310D136B" w14:textId="77777777" w:rsidR="005A0215" w:rsidRPr="005A0215" w:rsidRDefault="005A0215" w:rsidP="005A0215">
      <w:pPr>
        <w:spacing w:after="0" w:line="240" w:lineRule="auto"/>
        <w:jc w:val="both"/>
        <w:rPr>
          <w:rFonts w:ascii="Times New Roman" w:hAnsi="Times New Roman"/>
          <w:sz w:val="24"/>
          <w:szCs w:val="24"/>
        </w:rPr>
      </w:pPr>
    </w:p>
    <w:p w14:paraId="5DAEC43D" w14:textId="77777777" w:rsidR="005A0215" w:rsidRPr="005A0215" w:rsidRDefault="005A0215" w:rsidP="005A0215">
      <w:pPr>
        <w:spacing w:after="0" w:line="240" w:lineRule="auto"/>
        <w:jc w:val="both"/>
        <w:rPr>
          <w:rFonts w:ascii="Times New Roman" w:hAnsi="Times New Roman"/>
          <w:sz w:val="24"/>
          <w:szCs w:val="24"/>
        </w:rPr>
      </w:pPr>
      <w:r w:rsidRPr="005A0215">
        <w:rPr>
          <w:rFonts w:ascii="Times New Roman" w:hAnsi="Times New Roman"/>
          <w:sz w:val="24"/>
          <w:szCs w:val="24"/>
        </w:rPr>
        <w:t>Despite these improvements, Liberia currently relies almost entirely on a single submarine cable. As demand for data and digital services continues to rise—driven by increased mobile data usage, digital government rollout, enterprise connectivity needs, and cloud adoption—dependence on one international link exposes the country to serious risks, including outages, rising operational costs, and vulnerability to disruptions. Strengthening the redundancy, diversity, and resilience of Liberia’s international connectivity has therefore become a national priority.</w:t>
      </w:r>
    </w:p>
    <w:p w14:paraId="14AB463C" w14:textId="77777777" w:rsidR="005A0215" w:rsidRPr="005A0215" w:rsidRDefault="005A0215" w:rsidP="005A0215">
      <w:pPr>
        <w:spacing w:after="0" w:line="240" w:lineRule="auto"/>
        <w:jc w:val="both"/>
        <w:rPr>
          <w:rFonts w:ascii="Times New Roman" w:hAnsi="Times New Roman"/>
          <w:sz w:val="24"/>
          <w:szCs w:val="24"/>
        </w:rPr>
      </w:pPr>
    </w:p>
    <w:p w14:paraId="09B218C2" w14:textId="77777777" w:rsidR="005A0215" w:rsidRPr="005A0215" w:rsidRDefault="005A0215" w:rsidP="005A0215">
      <w:pPr>
        <w:spacing w:after="0" w:line="240" w:lineRule="auto"/>
        <w:jc w:val="both"/>
        <w:rPr>
          <w:rFonts w:ascii="Times New Roman" w:hAnsi="Times New Roman"/>
          <w:sz w:val="24"/>
          <w:szCs w:val="24"/>
        </w:rPr>
      </w:pPr>
      <w:r w:rsidRPr="005A0215">
        <w:rPr>
          <w:rFonts w:ascii="Times New Roman" w:hAnsi="Times New Roman"/>
          <w:sz w:val="24"/>
          <w:szCs w:val="24"/>
        </w:rPr>
        <w:t>To address this strategic need, the Government of Liberia, through the Ministry of Posts and Telecommunications (MoPT) and with support under the West Africa Regional Digital Integration Program (WARDIP), is advancing plans for a second international submarine cable landing in Liberia. While the specific system has not yet been finalized, the new submarine cable initiative is expected to provide the country with additional capacity, enhanced redundancy, improved competition, and greater resilience—supporting Liberia’s long-term digital transformation ambitions.</w:t>
      </w:r>
    </w:p>
    <w:p w14:paraId="106C7D5B" w14:textId="77777777" w:rsidR="005A0215" w:rsidRPr="005A0215" w:rsidRDefault="005A0215" w:rsidP="005A0215">
      <w:pPr>
        <w:spacing w:after="0" w:line="240" w:lineRule="auto"/>
        <w:jc w:val="both"/>
        <w:rPr>
          <w:rFonts w:ascii="Times New Roman" w:hAnsi="Times New Roman"/>
          <w:sz w:val="24"/>
          <w:szCs w:val="24"/>
        </w:rPr>
      </w:pPr>
    </w:p>
    <w:p w14:paraId="2D11CC59" w14:textId="77777777" w:rsidR="005A0215" w:rsidRPr="005A0215" w:rsidRDefault="005A0215" w:rsidP="005A0215">
      <w:pPr>
        <w:spacing w:after="0" w:line="240" w:lineRule="auto"/>
        <w:jc w:val="both"/>
        <w:rPr>
          <w:rFonts w:ascii="Times New Roman" w:hAnsi="Times New Roman"/>
          <w:sz w:val="24"/>
          <w:szCs w:val="24"/>
        </w:rPr>
      </w:pPr>
      <w:r w:rsidRPr="005A0215">
        <w:rPr>
          <w:rFonts w:ascii="Times New Roman" w:hAnsi="Times New Roman"/>
          <w:sz w:val="24"/>
          <w:szCs w:val="24"/>
        </w:rPr>
        <w:t>Planning for the second cable has been informed by a multi-country technical and financial feasibility assessment conducted by TACTIS, which examined future international capacity needs, technology options, landing site considerations, commercial structures, and governance arrangements across participating West African countries. For Liberia, the assessment confirmed that a second submarine cable is both technically viable and commercially justified. It identified strong and growing bandwidth demand and the need to reduce the risks associated with dependence on ACE. These findings reinforce the urgency of establishing a second connection and the importance of designing a sound ownership, governance, and financing structure.</w:t>
      </w:r>
    </w:p>
    <w:p w14:paraId="1ED94654" w14:textId="77777777" w:rsidR="005A0215" w:rsidRPr="005A0215" w:rsidRDefault="005A0215" w:rsidP="005A0215">
      <w:pPr>
        <w:spacing w:after="0" w:line="240" w:lineRule="auto"/>
        <w:jc w:val="both"/>
        <w:rPr>
          <w:rFonts w:ascii="Times New Roman" w:hAnsi="Times New Roman"/>
          <w:sz w:val="24"/>
          <w:szCs w:val="24"/>
        </w:rPr>
      </w:pPr>
    </w:p>
    <w:p w14:paraId="0569EDB0" w14:textId="77777777" w:rsidR="005A0215" w:rsidRPr="005A0215" w:rsidRDefault="005A0215" w:rsidP="005A0215">
      <w:pPr>
        <w:spacing w:after="0" w:line="240" w:lineRule="auto"/>
        <w:jc w:val="both"/>
        <w:rPr>
          <w:rFonts w:ascii="Times New Roman" w:hAnsi="Times New Roman"/>
          <w:sz w:val="24"/>
          <w:szCs w:val="24"/>
        </w:rPr>
      </w:pPr>
      <w:r w:rsidRPr="005A0215">
        <w:rPr>
          <w:rFonts w:ascii="Times New Roman" w:hAnsi="Times New Roman"/>
          <w:sz w:val="24"/>
          <w:szCs w:val="24"/>
        </w:rPr>
        <w:t>To ensure efficient, transparent, and sustainable management of Liberia’s stake in the future cable system, the Government and private sector actors have agreed to establish a dedicated Special Purpose Vehicle (SPV)—the Amilcar Cabral Cable Consortium of Liberia (AC3-Liberia). Liberia’s major Mobile Network Operators (MNOs) and Internet Service Providers (ISPs) have signed a non-binding Memorandum of Understanding (MoU) expressing their intention to jointly establish and capitalize the SPV. The Government of Liberia will participate as a minority shareholder, providing policy alignment and strategic oversight while e</w:t>
      </w:r>
    </w:p>
    <w:p w14:paraId="106BCFBF" w14:textId="58E5DD5C" w:rsidR="005A0215" w:rsidRPr="005A0215" w:rsidRDefault="005A0215" w:rsidP="005A0215">
      <w:pPr>
        <w:spacing w:after="0" w:line="240" w:lineRule="auto"/>
        <w:jc w:val="both"/>
        <w:rPr>
          <w:rFonts w:ascii="Times New Roman" w:hAnsi="Times New Roman"/>
          <w:sz w:val="24"/>
          <w:szCs w:val="24"/>
        </w:rPr>
      </w:pPr>
      <w:r w:rsidRPr="005A0215">
        <w:rPr>
          <w:rFonts w:ascii="Times New Roman" w:hAnsi="Times New Roman"/>
          <w:sz w:val="24"/>
          <w:szCs w:val="24"/>
        </w:rPr>
        <w:t>nsuring that ownership and operational control remain led by the private sector—consistent with global best practices for submarine cable wholesale governance.</w:t>
      </w:r>
    </w:p>
    <w:p w14:paraId="130D93F4" w14:textId="77777777" w:rsidR="005A0215" w:rsidRPr="005A0215" w:rsidRDefault="005A0215" w:rsidP="005A0215">
      <w:pPr>
        <w:spacing w:after="0" w:line="240" w:lineRule="auto"/>
        <w:jc w:val="both"/>
        <w:rPr>
          <w:rFonts w:ascii="Times New Roman" w:hAnsi="Times New Roman"/>
          <w:sz w:val="24"/>
          <w:szCs w:val="24"/>
        </w:rPr>
      </w:pPr>
    </w:p>
    <w:p w14:paraId="0AF1A8A6" w14:textId="77777777" w:rsidR="005A0215" w:rsidRPr="005A0215" w:rsidRDefault="005A0215" w:rsidP="005A0215">
      <w:pPr>
        <w:spacing w:after="0" w:line="240" w:lineRule="auto"/>
        <w:jc w:val="both"/>
        <w:rPr>
          <w:rFonts w:ascii="Times New Roman" w:hAnsi="Times New Roman"/>
          <w:sz w:val="24"/>
          <w:szCs w:val="24"/>
        </w:rPr>
      </w:pPr>
      <w:r w:rsidRPr="005A0215">
        <w:rPr>
          <w:rFonts w:ascii="Times New Roman" w:hAnsi="Times New Roman"/>
          <w:sz w:val="24"/>
          <w:szCs w:val="24"/>
        </w:rPr>
        <w:t>The SPV will ultimately hold Liberia’s ownership interest in the second submarine cable system, including the landing station and any associated terrestrial infrastructure. To become operational, AC3-Liberia requires a complete set of legal, regulatory, commercial, and financial structuring actions, including incorporation, preparation of foundational corporate instruments, design of governance arrangements, valuation of contributions (including in-kind assets), financial modeling, assessing the need for additional investors, and preparing the SPV for financial close. The SPV must be designed to remain fully viable even if no external investors join initially, while retaining flexibility to accommodate new private-sector or development finance institution (DFI) participation in the future.</w:t>
      </w:r>
    </w:p>
    <w:p w14:paraId="73DF93D6" w14:textId="77777777" w:rsidR="005A0215" w:rsidRPr="005A0215" w:rsidRDefault="005A0215" w:rsidP="005A0215">
      <w:pPr>
        <w:spacing w:after="0" w:line="240" w:lineRule="auto"/>
        <w:jc w:val="both"/>
        <w:rPr>
          <w:rFonts w:ascii="Times New Roman" w:hAnsi="Times New Roman"/>
          <w:sz w:val="24"/>
          <w:szCs w:val="24"/>
        </w:rPr>
      </w:pPr>
    </w:p>
    <w:p w14:paraId="63376709" w14:textId="77777777" w:rsidR="005A0215" w:rsidRPr="005A0215" w:rsidRDefault="005A0215" w:rsidP="005A0215">
      <w:pPr>
        <w:spacing w:after="0" w:line="240" w:lineRule="auto"/>
        <w:jc w:val="both"/>
        <w:rPr>
          <w:rFonts w:ascii="Times New Roman" w:hAnsi="Times New Roman"/>
          <w:sz w:val="24"/>
          <w:szCs w:val="24"/>
        </w:rPr>
      </w:pPr>
      <w:r w:rsidRPr="005A0215">
        <w:rPr>
          <w:rFonts w:ascii="Times New Roman" w:hAnsi="Times New Roman"/>
          <w:sz w:val="24"/>
          <w:szCs w:val="24"/>
        </w:rPr>
        <w:t xml:space="preserve">To support this effort, the Government of Liberia seeks to engage a </w:t>
      </w:r>
      <w:r w:rsidRPr="005A0215">
        <w:rPr>
          <w:rFonts w:ascii="Times New Roman" w:hAnsi="Times New Roman"/>
          <w:b/>
          <w:bCs/>
          <w:sz w:val="24"/>
          <w:szCs w:val="24"/>
        </w:rPr>
        <w:t>single qualified advisory firm</w:t>
      </w:r>
      <w:r w:rsidRPr="005A0215">
        <w:rPr>
          <w:rFonts w:ascii="Times New Roman" w:hAnsi="Times New Roman"/>
          <w:sz w:val="24"/>
          <w:szCs w:val="24"/>
        </w:rPr>
        <w:t xml:space="preserve"> to provide </w:t>
      </w:r>
      <w:r w:rsidRPr="005A0215">
        <w:rPr>
          <w:rFonts w:ascii="Times New Roman" w:hAnsi="Times New Roman"/>
          <w:b/>
          <w:bCs/>
          <w:sz w:val="24"/>
          <w:szCs w:val="24"/>
        </w:rPr>
        <w:t>integrated legal and transaction advisory services</w:t>
      </w:r>
      <w:r w:rsidRPr="005A0215">
        <w:rPr>
          <w:rFonts w:ascii="Times New Roman" w:hAnsi="Times New Roman"/>
          <w:sz w:val="24"/>
          <w:szCs w:val="24"/>
        </w:rPr>
        <w:t>. The Advisor will assist the Government and the prospective shareholders in establishing AC3-Liberia as a legally compliant, financially sound, and commercially sustainable SPV capable of achieving financial close for the second submarine cable. The integrated nature of the assignment ensures that legal, commercial, and financial dimensions are fully aligned, reducing risks and enabling the creation of a robust and professionally governed entity that will safeguard Liberia’s long-term international connectivity.</w:t>
      </w:r>
    </w:p>
    <w:p w14:paraId="2A57A016" w14:textId="48F31203" w:rsidR="00DA111E" w:rsidRPr="005A0215" w:rsidRDefault="00F278A9" w:rsidP="005A0215">
      <w:pPr>
        <w:spacing w:after="0"/>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p>
    <w:p w14:paraId="7EA52FE0" w14:textId="77777777" w:rsidR="00DA111E" w:rsidRPr="005A0215" w:rsidRDefault="00DA111E" w:rsidP="005A0215">
      <w:pPr>
        <w:spacing w:after="0"/>
        <w:jc w:val="both"/>
        <w:rPr>
          <w:rFonts w:ascii="Times New Roman" w:eastAsiaTheme="minorEastAsia" w:hAnsi="Times New Roman"/>
          <w:b/>
          <w:bCs/>
          <w:color w:val="000000" w:themeColor="text1"/>
          <w:sz w:val="24"/>
          <w:szCs w:val="24"/>
          <w:lang w:val="en-GB"/>
        </w:rPr>
      </w:pPr>
      <w:r w:rsidRPr="005A0215">
        <w:rPr>
          <w:rFonts w:ascii="Times New Roman" w:eastAsiaTheme="minorEastAsia" w:hAnsi="Times New Roman"/>
          <w:b/>
          <w:bCs/>
          <w:color w:val="000000" w:themeColor="text1"/>
          <w:sz w:val="24"/>
          <w:szCs w:val="24"/>
          <w:lang w:val="en-GB"/>
        </w:rPr>
        <w:t>2. OBJECTIVE OF THE ASSIGNMENT</w:t>
      </w:r>
    </w:p>
    <w:p w14:paraId="222A93F2" w14:textId="77777777" w:rsidR="00DA111E" w:rsidRPr="005A0215" w:rsidRDefault="00DA111E" w:rsidP="005A0215">
      <w:pPr>
        <w:spacing w:after="0"/>
        <w:jc w:val="both"/>
        <w:rPr>
          <w:rFonts w:ascii="Times New Roman" w:eastAsia="Times New Roman" w:hAnsi="Times New Roman"/>
          <w:color w:val="000000" w:themeColor="text1"/>
          <w:sz w:val="24"/>
          <w:szCs w:val="24"/>
          <w:lang w:val="en-GB"/>
        </w:rPr>
      </w:pPr>
    </w:p>
    <w:p w14:paraId="4BD0358E" w14:textId="77777777" w:rsidR="005A0215" w:rsidRPr="005A0215" w:rsidRDefault="005A0215" w:rsidP="005A0215">
      <w:pPr>
        <w:spacing w:after="0" w:line="240" w:lineRule="auto"/>
        <w:jc w:val="both"/>
        <w:rPr>
          <w:rFonts w:ascii="Times New Roman" w:eastAsiaTheme="minorEastAsia" w:hAnsi="Times New Roman"/>
          <w:color w:val="000000"/>
          <w:sz w:val="24"/>
          <w:szCs w:val="24"/>
        </w:rPr>
      </w:pPr>
      <w:r w:rsidRPr="005A0215">
        <w:rPr>
          <w:rFonts w:ascii="Times New Roman" w:hAnsi="Times New Roman"/>
          <w:color w:val="000000"/>
          <w:sz w:val="24"/>
          <w:szCs w:val="24"/>
        </w:rPr>
        <w:t>The objective of this assignment is to structure AC3-Liberia as a financially viable, commercially sustainable, and operationally sound Special Purpose Vehicle (SPV) that reflects a majority private-sector ownership model with the Government of Liberia participating as a minority shareholder. The Advisor will provide integrated legal, commercial, and financial structuring support to ensure that the SPV is established on a sound foundation and is capable of achieving financial close and operational readiness for the new cable landing.</w:t>
      </w:r>
    </w:p>
    <w:p w14:paraId="0DA36068" w14:textId="77777777" w:rsidR="005A0215" w:rsidRPr="005A0215" w:rsidRDefault="005A0215" w:rsidP="005A0215">
      <w:pPr>
        <w:spacing w:after="0" w:line="240" w:lineRule="auto"/>
        <w:jc w:val="both"/>
        <w:rPr>
          <w:rFonts w:ascii="Times New Roman" w:eastAsiaTheme="minorEastAsia" w:hAnsi="Times New Roman"/>
          <w:color w:val="000000"/>
          <w:sz w:val="24"/>
          <w:szCs w:val="24"/>
        </w:rPr>
      </w:pPr>
    </w:p>
    <w:p w14:paraId="4FB624C3" w14:textId="77777777" w:rsidR="005A0215" w:rsidRPr="005A0215" w:rsidRDefault="005A0215" w:rsidP="005A0215">
      <w:p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A core objective is the legal establishment and operationalization of AC3-Liberia. The Advisor will lead the drafting of all corporate legal instruments—including the Articles of Incorporation, Bylaws, Shareholders’ Agreement, Subscription Agreements, Governance Framework, and related documentation—and will manage the full registration process with the Liberia Business Registry and other national authorities. The assignment includes ensuring compliance with Liberian company law, telecommunications regulations, tax requirements, and all World Bank/WARDIP obligations, including safeguards, transparency, and good governance standards.</w:t>
      </w:r>
    </w:p>
    <w:p w14:paraId="19AD2269" w14:textId="77777777" w:rsidR="005A0215" w:rsidRPr="005A0215" w:rsidRDefault="005A0215" w:rsidP="005A0215">
      <w:pPr>
        <w:spacing w:after="0" w:line="240" w:lineRule="auto"/>
        <w:jc w:val="both"/>
        <w:rPr>
          <w:rFonts w:ascii="Times New Roman" w:hAnsi="Times New Roman"/>
          <w:color w:val="000000"/>
          <w:sz w:val="24"/>
          <w:szCs w:val="24"/>
        </w:rPr>
      </w:pPr>
    </w:p>
    <w:p w14:paraId="220DDA42" w14:textId="77777777" w:rsidR="005A0215" w:rsidRPr="005A0215" w:rsidRDefault="005A0215" w:rsidP="005A0215">
      <w:p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 xml:space="preserve">In parallel, the assignment aims to design and structure AC3-Liberia as a financially sustainable and bankable entity. The Advisor will assess capital requirements, develop a comprehensive financial model, and design a capital structure that reflects a majority private-sector ownership model with the Government participating as a minority shareholder. This includes valuing all shareholder contributions, incorporating the Government’s confirmed cash equity contribution, and identifying and valuing potential </w:t>
      </w:r>
      <w:r w:rsidRPr="005A0215">
        <w:rPr>
          <w:rFonts w:ascii="Times New Roman" w:hAnsi="Times New Roman"/>
          <w:color w:val="000000"/>
          <w:sz w:val="24"/>
          <w:szCs w:val="24"/>
        </w:rPr>
        <w:lastRenderedPageBreak/>
        <w:t>in-kind contributions that could strengthen the SPV’s capital base. The SPV must remain fully viable even if no additional investors join initially, while retaining flexibility to accommodate new private-sector investors or Development Finance Institutions (DFIs) should such participation later be deemed beneficial.</w:t>
      </w:r>
    </w:p>
    <w:p w14:paraId="087ACDBA" w14:textId="77777777" w:rsidR="005A0215" w:rsidRPr="005A0215" w:rsidRDefault="005A0215" w:rsidP="005A0215">
      <w:pPr>
        <w:spacing w:after="0" w:line="240" w:lineRule="auto"/>
        <w:jc w:val="both"/>
        <w:rPr>
          <w:rFonts w:ascii="Times New Roman" w:eastAsiaTheme="minorEastAsia" w:hAnsi="Times New Roman"/>
          <w:color w:val="000000"/>
          <w:sz w:val="24"/>
          <w:szCs w:val="24"/>
        </w:rPr>
      </w:pPr>
    </w:p>
    <w:p w14:paraId="6A331170" w14:textId="77777777" w:rsidR="005A0215" w:rsidRPr="005A0215" w:rsidRDefault="005A0215" w:rsidP="005A0215">
      <w:pPr>
        <w:spacing w:after="0" w:line="240" w:lineRule="auto"/>
        <w:jc w:val="both"/>
        <w:rPr>
          <w:rFonts w:ascii="Times New Roman" w:eastAsiaTheme="minorEastAsia" w:hAnsi="Times New Roman"/>
          <w:color w:val="000000"/>
          <w:sz w:val="24"/>
          <w:szCs w:val="24"/>
        </w:rPr>
      </w:pPr>
      <w:r w:rsidRPr="005A0215">
        <w:rPr>
          <w:rFonts w:ascii="Times New Roman" w:hAnsi="Times New Roman"/>
          <w:color w:val="000000"/>
          <w:sz w:val="24"/>
          <w:szCs w:val="24"/>
        </w:rPr>
        <w:t>A third objective is to support investor readiness and capital mobilization options. The Advisor will assess whether attracting additional private investors or DFIs could bring financial, operational, or strategic value to the SPV. If justified, the Advisor will conduct targeted market sounding and provide recommendations on next steps. Any competitive investor selection process will only be undertaken if clearly warranted and approved by the Consortium.</w:t>
      </w:r>
    </w:p>
    <w:p w14:paraId="4430F0B8" w14:textId="77777777" w:rsidR="005A0215" w:rsidRPr="005A0215" w:rsidRDefault="005A0215" w:rsidP="005A0215">
      <w:pPr>
        <w:spacing w:after="0" w:line="240" w:lineRule="auto"/>
        <w:jc w:val="both"/>
        <w:rPr>
          <w:rFonts w:ascii="Times New Roman" w:eastAsiaTheme="minorEastAsia" w:hAnsi="Times New Roman"/>
          <w:color w:val="000000"/>
          <w:sz w:val="24"/>
          <w:szCs w:val="24"/>
        </w:rPr>
      </w:pPr>
    </w:p>
    <w:p w14:paraId="248FA66D" w14:textId="77777777" w:rsidR="005A0215" w:rsidRPr="005A0215" w:rsidRDefault="005A0215" w:rsidP="005A0215">
      <w:pPr>
        <w:spacing w:after="0" w:line="240" w:lineRule="auto"/>
        <w:jc w:val="both"/>
        <w:rPr>
          <w:rFonts w:ascii="Times New Roman" w:eastAsiaTheme="minorEastAsia" w:hAnsi="Times New Roman"/>
          <w:color w:val="000000"/>
          <w:sz w:val="24"/>
          <w:szCs w:val="24"/>
        </w:rPr>
      </w:pPr>
      <w:r w:rsidRPr="005A0215">
        <w:rPr>
          <w:rFonts w:ascii="Times New Roman" w:hAnsi="Times New Roman"/>
          <w:color w:val="000000"/>
          <w:sz w:val="24"/>
          <w:szCs w:val="24"/>
        </w:rPr>
        <w:t>A fourth objective is to ensure strong alignment between financial structuring and legal documentation. The Advisor will integrate legal and transaction advisory functions so that corporate instruments, commercial agreements, capitalization arrangements, IRU structures, risk allocation provisions, and governance mechanisms are coherent and mutually reinforcing. The assignment includes guiding the Government and private operators through negotiations, ensuring that all agreements are commercially sound, enforceable, and aligned with the long-term sustainability of the SPV.</w:t>
      </w:r>
    </w:p>
    <w:p w14:paraId="35F0666F" w14:textId="77777777" w:rsidR="005A0215" w:rsidRPr="005A0215" w:rsidRDefault="005A0215" w:rsidP="005A0215">
      <w:pPr>
        <w:spacing w:after="0" w:line="240" w:lineRule="auto"/>
        <w:jc w:val="both"/>
        <w:rPr>
          <w:rFonts w:ascii="Times New Roman" w:eastAsiaTheme="minorEastAsia" w:hAnsi="Times New Roman"/>
          <w:color w:val="000000"/>
          <w:sz w:val="24"/>
          <w:szCs w:val="24"/>
        </w:rPr>
      </w:pPr>
    </w:p>
    <w:p w14:paraId="62968B10" w14:textId="77777777" w:rsidR="005A0215" w:rsidRPr="005A0215" w:rsidRDefault="005A0215" w:rsidP="005A0215">
      <w:p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 xml:space="preserve">Finally, the Advisor will guide AC3-Liberia through the process of </w:t>
      </w:r>
      <w:r w:rsidRPr="005A0215">
        <w:rPr>
          <w:rFonts w:ascii="Times New Roman" w:hAnsi="Times New Roman"/>
          <w:b/>
          <w:bCs/>
          <w:color w:val="000000"/>
          <w:sz w:val="24"/>
          <w:szCs w:val="24"/>
        </w:rPr>
        <w:t>achieving financial close and becoming fully operational</w:t>
      </w:r>
      <w:r w:rsidRPr="005A0215">
        <w:rPr>
          <w:rFonts w:ascii="Times New Roman" w:hAnsi="Times New Roman"/>
          <w:color w:val="000000"/>
          <w:sz w:val="24"/>
          <w:szCs w:val="24"/>
        </w:rPr>
        <w:t>. This includes preparing conditions precedent, capitalization steps, subscription arrangements, and the full set of documentation required by investors and financiers. The Advisor will prepare a complete financial close package and provide a clear roadmap for implementation, ensuring that AC3-Liberia is positioned to execute the submarine cable project effectively.</w:t>
      </w:r>
    </w:p>
    <w:p w14:paraId="47782571" w14:textId="77777777" w:rsidR="00A71F1F" w:rsidRPr="005A0215" w:rsidRDefault="00A71F1F" w:rsidP="005A0215">
      <w:pPr>
        <w:spacing w:after="0" w:line="240" w:lineRule="auto"/>
        <w:jc w:val="both"/>
        <w:rPr>
          <w:rFonts w:ascii="Times New Roman" w:eastAsia="Times New Roman" w:hAnsi="Times New Roman"/>
          <w:sz w:val="24"/>
          <w:szCs w:val="24"/>
        </w:rPr>
      </w:pPr>
    </w:p>
    <w:p w14:paraId="14A03EBF" w14:textId="77777777" w:rsidR="000073E6" w:rsidRPr="005A0215" w:rsidRDefault="000073E6" w:rsidP="005A0215">
      <w:pPr>
        <w:spacing w:after="0"/>
        <w:jc w:val="both"/>
        <w:rPr>
          <w:rFonts w:ascii="Times New Roman" w:eastAsiaTheme="minorEastAsia" w:hAnsi="Times New Roman"/>
          <w:b/>
          <w:bCs/>
          <w:color w:val="000000" w:themeColor="text1"/>
          <w:sz w:val="24"/>
          <w:szCs w:val="24"/>
          <w:lang w:val="en-GB"/>
        </w:rPr>
      </w:pPr>
    </w:p>
    <w:p w14:paraId="79AAEF5D" w14:textId="440F28E2" w:rsidR="00DA111E" w:rsidRPr="005A0215" w:rsidRDefault="00DA111E" w:rsidP="005A0215">
      <w:pPr>
        <w:spacing w:after="0"/>
        <w:jc w:val="both"/>
        <w:rPr>
          <w:rFonts w:ascii="Times New Roman" w:eastAsiaTheme="minorEastAsia" w:hAnsi="Times New Roman"/>
          <w:b/>
          <w:bCs/>
          <w:color w:val="000000" w:themeColor="text1"/>
          <w:sz w:val="24"/>
          <w:szCs w:val="24"/>
          <w:lang w:val="en-GB"/>
        </w:rPr>
      </w:pPr>
      <w:r w:rsidRPr="005A0215">
        <w:rPr>
          <w:rFonts w:ascii="Times New Roman" w:eastAsiaTheme="minorEastAsia" w:hAnsi="Times New Roman"/>
          <w:b/>
          <w:bCs/>
          <w:color w:val="000000" w:themeColor="text1"/>
          <w:sz w:val="24"/>
          <w:szCs w:val="24"/>
          <w:lang w:val="en-GB"/>
        </w:rPr>
        <w:t>3. SCOPE OF WORK</w:t>
      </w:r>
    </w:p>
    <w:p w14:paraId="7C93B004" w14:textId="77777777" w:rsidR="00D94025" w:rsidRPr="005A0215" w:rsidRDefault="00D94025" w:rsidP="005A0215">
      <w:pPr>
        <w:spacing w:after="0"/>
        <w:jc w:val="both"/>
        <w:rPr>
          <w:rFonts w:ascii="Times New Roman" w:eastAsiaTheme="minorEastAsia" w:hAnsi="Times New Roman"/>
          <w:b/>
          <w:bCs/>
          <w:color w:val="000000" w:themeColor="text1"/>
          <w:sz w:val="24"/>
          <w:szCs w:val="24"/>
          <w:lang w:val="en-GB"/>
        </w:rPr>
      </w:pPr>
    </w:p>
    <w:p w14:paraId="19A18E81" w14:textId="77777777" w:rsidR="005A0215" w:rsidRPr="005A0215" w:rsidRDefault="005A0215" w:rsidP="005A0215">
      <w:pPr>
        <w:spacing w:after="0" w:line="240" w:lineRule="auto"/>
        <w:jc w:val="both"/>
        <w:rPr>
          <w:rFonts w:ascii="Times New Roman" w:eastAsia="Times New Roman" w:hAnsi="Times New Roman"/>
          <w:sz w:val="24"/>
          <w:szCs w:val="24"/>
        </w:rPr>
      </w:pPr>
      <w:r w:rsidRPr="005A0215">
        <w:rPr>
          <w:rFonts w:ascii="Times New Roman" w:eastAsia="Times New Roman" w:hAnsi="Times New Roman"/>
          <w:sz w:val="24"/>
          <w:szCs w:val="24"/>
        </w:rPr>
        <w:t>The Consultant will provide comprehensive legal, commercial, and financial advisory services necessary for the establishment, structuring, operationalization, and capitalization of the Amilcar Cabral Cable Consortium of Liberia (AC3-Liberia). The scope covers all tasks required to (i) incorporate the SPV as a legally compliant entity, (ii) design and negotiate its governance and capital structure, (iii) prepare it for financial close, and (iv) ensure long-term sustainability and readiness to manage Liberia’s second international submarine cable landing.</w:t>
      </w:r>
    </w:p>
    <w:p w14:paraId="65E4ABF9" w14:textId="77777777" w:rsidR="005A0215" w:rsidRPr="005A0215" w:rsidRDefault="005A0215" w:rsidP="005A0215">
      <w:pPr>
        <w:spacing w:after="0" w:line="240" w:lineRule="auto"/>
        <w:jc w:val="both"/>
        <w:rPr>
          <w:rFonts w:ascii="Times New Roman" w:eastAsia="Times New Roman" w:hAnsi="Times New Roman"/>
          <w:sz w:val="24"/>
          <w:szCs w:val="24"/>
        </w:rPr>
      </w:pPr>
    </w:p>
    <w:p w14:paraId="10A669BE" w14:textId="77777777" w:rsidR="005A0215" w:rsidRPr="005A0215" w:rsidRDefault="005A0215" w:rsidP="005A0215">
      <w:pPr>
        <w:spacing w:after="0" w:line="240" w:lineRule="auto"/>
        <w:jc w:val="both"/>
        <w:rPr>
          <w:rFonts w:ascii="Times New Roman" w:eastAsia="Times New Roman" w:hAnsi="Times New Roman"/>
          <w:sz w:val="24"/>
          <w:szCs w:val="24"/>
        </w:rPr>
      </w:pPr>
      <w:r w:rsidRPr="005A0215">
        <w:rPr>
          <w:rFonts w:ascii="Times New Roman" w:eastAsia="Times New Roman" w:hAnsi="Times New Roman"/>
          <w:sz w:val="24"/>
          <w:szCs w:val="24"/>
        </w:rPr>
        <w:t>This engagement includes, but is not limited to the following:</w:t>
      </w:r>
    </w:p>
    <w:p w14:paraId="5B336248" w14:textId="77777777" w:rsidR="005A0215" w:rsidRPr="005A0215" w:rsidRDefault="005A0215" w:rsidP="005A0215">
      <w:pPr>
        <w:spacing w:after="0" w:line="240" w:lineRule="auto"/>
        <w:jc w:val="both"/>
        <w:rPr>
          <w:rFonts w:ascii="Times New Roman" w:eastAsiaTheme="minorEastAsia" w:hAnsi="Times New Roman"/>
          <w:sz w:val="24"/>
          <w:szCs w:val="24"/>
        </w:rPr>
      </w:pPr>
    </w:p>
    <w:p w14:paraId="5D4E5034" w14:textId="77777777" w:rsidR="005A0215" w:rsidRPr="005A0215" w:rsidRDefault="005A0215" w:rsidP="005A0215">
      <w:pPr>
        <w:spacing w:after="0" w:line="240" w:lineRule="auto"/>
        <w:jc w:val="both"/>
        <w:rPr>
          <w:rFonts w:ascii="Times New Roman" w:hAnsi="Times New Roman"/>
          <w:b/>
          <w:color w:val="000000"/>
          <w:sz w:val="24"/>
          <w:szCs w:val="24"/>
        </w:rPr>
      </w:pPr>
      <w:r w:rsidRPr="005A0215">
        <w:rPr>
          <w:rFonts w:ascii="Times New Roman" w:hAnsi="Times New Roman"/>
          <w:b/>
          <w:color w:val="000000"/>
          <w:sz w:val="24"/>
          <w:szCs w:val="24"/>
        </w:rPr>
        <w:t>Phase 1: Corporate &amp; Regulatory Foundations</w:t>
      </w:r>
    </w:p>
    <w:p w14:paraId="2067B1E2" w14:textId="77777777" w:rsidR="005A0215" w:rsidRPr="005A0215" w:rsidRDefault="005A0215" w:rsidP="005A0215">
      <w:pPr>
        <w:spacing w:after="0" w:line="240" w:lineRule="auto"/>
        <w:jc w:val="both"/>
        <w:rPr>
          <w:rFonts w:ascii="Times New Roman" w:hAnsi="Times New Roman"/>
          <w:b/>
          <w:color w:val="000000"/>
          <w:sz w:val="24"/>
          <w:szCs w:val="24"/>
        </w:rPr>
      </w:pPr>
    </w:p>
    <w:p w14:paraId="45200085" w14:textId="77777777" w:rsidR="005A0215" w:rsidRPr="005A0215" w:rsidRDefault="005A0215" w:rsidP="005A0215">
      <w:pPr>
        <w:numPr>
          <w:ilvl w:val="0"/>
          <w:numId w:val="12"/>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Review of Legal &amp; Regulatory Framework:</w:t>
      </w:r>
      <w:r w:rsidRPr="005A0215">
        <w:rPr>
          <w:rFonts w:ascii="Times New Roman" w:hAnsi="Times New Roman"/>
          <w:color w:val="000000"/>
          <w:sz w:val="24"/>
          <w:szCs w:val="24"/>
        </w:rPr>
        <w:t xml:space="preserve"> Review Liberian laws, regulations, and administrative requirements relevant to establishing and operationalizing AC3-Liberia, including company law, investment law, SPV formation requirements, telecommunications licensing, international cable-landing and access regulations, </w:t>
      </w:r>
      <w:r w:rsidRPr="005A0215">
        <w:rPr>
          <w:rFonts w:ascii="Times New Roman" w:hAnsi="Times New Roman"/>
          <w:color w:val="000000"/>
          <w:sz w:val="24"/>
          <w:szCs w:val="24"/>
        </w:rPr>
        <w:lastRenderedPageBreak/>
        <w:t>foreign/domestic ownership rules, tax obligations, and any PPP or procurement frameworks. Identify regulatory obligations applicable during establishment, operation, capitalization, and future expansion.</w:t>
      </w:r>
    </w:p>
    <w:p w14:paraId="77C0CADA" w14:textId="77777777" w:rsidR="005A0215" w:rsidRPr="005A0215" w:rsidRDefault="005A0215" w:rsidP="005A0215">
      <w:pPr>
        <w:pStyle w:val="ListParagraph"/>
        <w:numPr>
          <w:ilvl w:val="0"/>
          <w:numId w:val="12"/>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 xml:space="preserve">Review of Existing MoU and Documentation: </w:t>
      </w:r>
      <w:r w:rsidRPr="005A0215">
        <w:rPr>
          <w:rFonts w:ascii="Times New Roman" w:hAnsi="Times New Roman"/>
          <w:color w:val="000000"/>
          <w:sz w:val="24"/>
          <w:szCs w:val="24"/>
        </w:rPr>
        <w:t>Analyze the existing non-binding MoU among the MNO/ISP members and identify any issues requiring refinement during incorporation. Review all available project documentation and identify areas requiring legal, commercial, or financial alignment before SPV formation.</w:t>
      </w:r>
    </w:p>
    <w:p w14:paraId="3A32F38C" w14:textId="77777777" w:rsidR="005A0215" w:rsidRPr="005A0215" w:rsidRDefault="005A0215" w:rsidP="005A0215">
      <w:pPr>
        <w:pStyle w:val="ListParagraph"/>
        <w:numPr>
          <w:ilvl w:val="0"/>
          <w:numId w:val="12"/>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Initial Structuring Readiness Assessment:</w:t>
      </w:r>
      <w:r w:rsidRPr="005A0215">
        <w:rPr>
          <w:rFonts w:ascii="Times New Roman" w:hAnsi="Times New Roman"/>
          <w:color w:val="000000"/>
          <w:sz w:val="24"/>
          <w:szCs w:val="24"/>
        </w:rPr>
        <w:t xml:space="preserve"> Review the prior technical, commercial, and financial work completed to date—including the TACTIS feasibility analysis—to validate assumptions, identify information gaps, and determine implications for SPV structuring. Provide immediate recommendations to support legal and institutional readiness.</w:t>
      </w:r>
    </w:p>
    <w:p w14:paraId="4FB6207E" w14:textId="77777777" w:rsidR="005A0215" w:rsidRPr="005A0215" w:rsidRDefault="005A0215" w:rsidP="005A0215">
      <w:pPr>
        <w:pStyle w:val="ListParagraph"/>
        <w:numPr>
          <w:ilvl w:val="0"/>
          <w:numId w:val="12"/>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 xml:space="preserve">Preliminary Risk Identification: </w:t>
      </w:r>
      <w:r w:rsidRPr="005A0215">
        <w:rPr>
          <w:rFonts w:ascii="Times New Roman" w:hAnsi="Times New Roman"/>
          <w:color w:val="000000"/>
          <w:sz w:val="24"/>
          <w:szCs w:val="24"/>
        </w:rPr>
        <w:t>Identify major early-stage legal, commercial, financial, and governance risks and provide initial mitigation strategies, to be refined throughout subsequent phases.</w:t>
      </w:r>
    </w:p>
    <w:p w14:paraId="19096B6D" w14:textId="77777777" w:rsidR="005A0215" w:rsidRPr="005A0215" w:rsidRDefault="005A0215" w:rsidP="005A0215">
      <w:pPr>
        <w:spacing w:after="0" w:line="240" w:lineRule="auto"/>
        <w:jc w:val="both"/>
        <w:rPr>
          <w:rFonts w:ascii="Times New Roman" w:hAnsi="Times New Roman"/>
          <w:b/>
          <w:color w:val="000000"/>
          <w:sz w:val="24"/>
          <w:szCs w:val="24"/>
        </w:rPr>
      </w:pPr>
    </w:p>
    <w:p w14:paraId="196AEC6C" w14:textId="77777777" w:rsidR="005A0215" w:rsidRPr="005A0215" w:rsidRDefault="005A0215" w:rsidP="005A0215">
      <w:pPr>
        <w:spacing w:after="0" w:line="240" w:lineRule="auto"/>
        <w:jc w:val="both"/>
        <w:rPr>
          <w:rFonts w:ascii="Times New Roman" w:hAnsi="Times New Roman"/>
          <w:b/>
          <w:color w:val="000000"/>
          <w:sz w:val="24"/>
          <w:szCs w:val="24"/>
        </w:rPr>
      </w:pPr>
      <w:r w:rsidRPr="005A0215">
        <w:rPr>
          <w:rFonts w:ascii="Times New Roman" w:hAnsi="Times New Roman"/>
          <w:b/>
          <w:color w:val="000000"/>
          <w:sz w:val="24"/>
          <w:szCs w:val="24"/>
        </w:rPr>
        <w:t>Phase 2: Financial Feasibility, Commercial Model Options, and SPV Capital Structure</w:t>
      </w:r>
      <w:r w:rsidRPr="005A0215" w:rsidDel="004C36F8">
        <w:rPr>
          <w:rFonts w:ascii="Times New Roman" w:hAnsi="Times New Roman"/>
          <w:b/>
          <w:color w:val="000000"/>
          <w:sz w:val="24"/>
          <w:szCs w:val="24"/>
        </w:rPr>
        <w:t xml:space="preserve"> </w:t>
      </w:r>
    </w:p>
    <w:p w14:paraId="35FCAB13" w14:textId="77777777" w:rsidR="005A0215" w:rsidRPr="005A0215" w:rsidRDefault="005A0215" w:rsidP="005A0215">
      <w:pPr>
        <w:spacing w:after="0" w:line="240" w:lineRule="auto"/>
        <w:jc w:val="both"/>
        <w:rPr>
          <w:rFonts w:ascii="Times New Roman" w:hAnsi="Times New Roman"/>
          <w:b/>
          <w:color w:val="000000"/>
          <w:sz w:val="24"/>
          <w:szCs w:val="24"/>
        </w:rPr>
      </w:pPr>
    </w:p>
    <w:p w14:paraId="393BC873" w14:textId="77777777" w:rsidR="005A0215" w:rsidRPr="005A0215" w:rsidRDefault="005A0215" w:rsidP="005A0215">
      <w:pPr>
        <w:numPr>
          <w:ilvl w:val="0"/>
          <w:numId w:val="14"/>
        </w:numPr>
        <w:spacing w:after="0" w:line="240" w:lineRule="auto"/>
        <w:jc w:val="both"/>
        <w:rPr>
          <w:rFonts w:ascii="Times New Roman" w:hAnsi="Times New Roman"/>
          <w:color w:val="000000"/>
          <w:sz w:val="24"/>
          <w:szCs w:val="24"/>
        </w:rPr>
      </w:pPr>
      <w:r w:rsidRPr="005A0215">
        <w:rPr>
          <w:rFonts w:ascii="Times New Roman" w:hAnsi="Times New Roman"/>
          <w:b/>
          <w:color w:val="000000"/>
          <w:sz w:val="24"/>
          <w:szCs w:val="24"/>
        </w:rPr>
        <w:t xml:space="preserve">Financial Feasibility and Model Development: </w:t>
      </w:r>
      <w:r w:rsidRPr="005A0215">
        <w:rPr>
          <w:rFonts w:ascii="Times New Roman" w:hAnsi="Times New Roman"/>
          <w:bCs/>
          <w:color w:val="000000"/>
          <w:sz w:val="24"/>
          <w:szCs w:val="24"/>
        </w:rPr>
        <w:t>Develop a comprehensive financial model aligned with the technical and commercial assumptions, emerging from the TACTIS feasibility work. The model shall include CAPEX, OPEX, lifecycle maintenance, depreciation, replacement cycles, projected revenues, cash flow performance, sensitivity tests, capital-call implications, and long-term sustainability. Coordinate with the technical team to ensure all input is consistent.</w:t>
      </w:r>
    </w:p>
    <w:p w14:paraId="4585C7BB" w14:textId="77777777" w:rsidR="005A0215" w:rsidRPr="005A0215" w:rsidRDefault="005A0215" w:rsidP="005A0215">
      <w:pPr>
        <w:numPr>
          <w:ilvl w:val="0"/>
          <w:numId w:val="14"/>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 xml:space="preserve">Commercial Structure Assessment &amp; Refinement: </w:t>
      </w:r>
      <w:r w:rsidRPr="005A0215">
        <w:rPr>
          <w:rFonts w:ascii="Times New Roman" w:hAnsi="Times New Roman"/>
          <w:color w:val="000000"/>
          <w:sz w:val="24"/>
          <w:szCs w:val="24"/>
        </w:rPr>
        <w:t>Analyze and refine practical wholesale commercial structure options appropriate for a shared landing-party SPV. These options may include variations in pricing methodologies, cost-recovery mechanisms, revenue allocation rules, and capacity assignment principles. For each model, evaluate implications for:</w:t>
      </w:r>
    </w:p>
    <w:p w14:paraId="384C369D" w14:textId="77777777" w:rsidR="005A0215" w:rsidRPr="005A0215" w:rsidRDefault="005A0215" w:rsidP="005A0215">
      <w:pPr>
        <w:pStyle w:val="ListParagraph"/>
        <w:numPr>
          <w:ilvl w:val="0"/>
          <w:numId w:val="16"/>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affordability and competitiveness of international capacity;</w:t>
      </w:r>
    </w:p>
    <w:p w14:paraId="5ED7EB2B" w14:textId="77777777" w:rsidR="005A0215" w:rsidRPr="005A0215" w:rsidRDefault="005A0215" w:rsidP="005A0215">
      <w:pPr>
        <w:pStyle w:val="ListParagraph"/>
        <w:numPr>
          <w:ilvl w:val="0"/>
          <w:numId w:val="16"/>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long-term financial sustainability of the SPV;</w:t>
      </w:r>
    </w:p>
    <w:p w14:paraId="1C65AB10" w14:textId="77777777" w:rsidR="005A0215" w:rsidRPr="005A0215" w:rsidRDefault="005A0215" w:rsidP="005A0215">
      <w:pPr>
        <w:pStyle w:val="ListParagraph"/>
        <w:numPr>
          <w:ilvl w:val="0"/>
          <w:numId w:val="16"/>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incentives for private-sector investment;</w:t>
      </w:r>
    </w:p>
    <w:p w14:paraId="03604182" w14:textId="77777777" w:rsidR="005A0215" w:rsidRPr="005A0215" w:rsidRDefault="005A0215" w:rsidP="005A0215">
      <w:pPr>
        <w:pStyle w:val="ListParagraph"/>
        <w:numPr>
          <w:ilvl w:val="0"/>
          <w:numId w:val="16"/>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governance arrangements and operational complexity;</w:t>
      </w:r>
    </w:p>
    <w:p w14:paraId="1EBDD0A6" w14:textId="77777777" w:rsidR="005A0215" w:rsidRPr="005A0215" w:rsidRDefault="005A0215" w:rsidP="005A0215">
      <w:pPr>
        <w:pStyle w:val="ListParagraph"/>
        <w:numPr>
          <w:ilvl w:val="0"/>
          <w:numId w:val="16"/>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compatibility with potential DFI financing.</w:t>
      </w:r>
    </w:p>
    <w:p w14:paraId="72FA4186" w14:textId="77777777" w:rsidR="005A0215" w:rsidRPr="005A0215" w:rsidRDefault="005A0215" w:rsidP="005A0215">
      <w:pPr>
        <w:spacing w:after="0" w:line="240" w:lineRule="auto"/>
        <w:ind w:left="425"/>
        <w:jc w:val="both"/>
        <w:rPr>
          <w:rFonts w:ascii="Times New Roman" w:hAnsi="Times New Roman"/>
          <w:color w:val="000000"/>
          <w:sz w:val="24"/>
          <w:szCs w:val="24"/>
        </w:rPr>
      </w:pPr>
      <w:r w:rsidRPr="005A0215">
        <w:rPr>
          <w:rFonts w:ascii="Times New Roman" w:hAnsi="Times New Roman"/>
          <w:color w:val="000000"/>
          <w:sz w:val="24"/>
          <w:szCs w:val="24"/>
        </w:rPr>
        <w:t>Support AC3 members in reviewing these options and facilitate consensus toward the preferred commercial structure. Once a model is agreed, translate it into the necessary financial assumptions and structuring parameters for the SPV.</w:t>
      </w:r>
    </w:p>
    <w:p w14:paraId="05B0ADFD" w14:textId="77777777" w:rsidR="005A0215" w:rsidRPr="005A0215" w:rsidRDefault="005A0215" w:rsidP="005A0215">
      <w:pPr>
        <w:pStyle w:val="ListParagraph"/>
        <w:numPr>
          <w:ilvl w:val="0"/>
          <w:numId w:val="14"/>
        </w:numPr>
        <w:spacing w:after="0" w:line="240" w:lineRule="auto"/>
        <w:jc w:val="both"/>
        <w:rPr>
          <w:rFonts w:ascii="Times New Roman" w:hAnsi="Times New Roman"/>
          <w:bCs/>
          <w:color w:val="000000"/>
          <w:sz w:val="24"/>
          <w:szCs w:val="24"/>
        </w:rPr>
      </w:pPr>
      <w:r w:rsidRPr="005A0215">
        <w:rPr>
          <w:rFonts w:ascii="Times New Roman" w:hAnsi="Times New Roman"/>
          <w:b/>
          <w:color w:val="000000"/>
          <w:sz w:val="24"/>
          <w:szCs w:val="24"/>
        </w:rPr>
        <w:t xml:space="preserve">Capital Structure &amp; Shareholding Design: </w:t>
      </w:r>
      <w:r w:rsidRPr="005A0215">
        <w:rPr>
          <w:rFonts w:ascii="Times New Roman" w:hAnsi="Times New Roman"/>
          <w:bCs/>
          <w:color w:val="000000"/>
          <w:sz w:val="24"/>
          <w:szCs w:val="24"/>
        </w:rPr>
        <w:t>Define capital requirements and develop a proposed capitalization structure for AC3-Liberia, including:</w:t>
      </w:r>
    </w:p>
    <w:p w14:paraId="660F8392" w14:textId="77777777" w:rsidR="005A0215" w:rsidRPr="005A0215" w:rsidRDefault="005A0215" w:rsidP="005A0215">
      <w:pPr>
        <w:pStyle w:val="ListParagraph"/>
        <w:numPr>
          <w:ilvl w:val="0"/>
          <w:numId w:val="16"/>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valuation of all shareholder contributions, including Government cash equity and potential in-kind contributions (e.g., rights-of-way, landing facilities, ducts, strategic assets);</w:t>
      </w:r>
    </w:p>
    <w:p w14:paraId="7C376EDF" w14:textId="77777777" w:rsidR="005A0215" w:rsidRPr="005A0215" w:rsidRDefault="005A0215" w:rsidP="005A0215">
      <w:pPr>
        <w:pStyle w:val="ListParagraph"/>
        <w:numPr>
          <w:ilvl w:val="0"/>
          <w:numId w:val="16"/>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design of shareholding arrangements consistent with majority private-sector ownership and minority Government participation;</w:t>
      </w:r>
    </w:p>
    <w:p w14:paraId="75A5645C" w14:textId="77777777" w:rsidR="005A0215" w:rsidRPr="005A0215" w:rsidRDefault="005A0215" w:rsidP="005A0215">
      <w:pPr>
        <w:pStyle w:val="ListParagraph"/>
        <w:numPr>
          <w:ilvl w:val="0"/>
          <w:numId w:val="16"/>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lastRenderedPageBreak/>
        <w:t>capital-call mechanisms, tranche schedules, and pre-operational financing arrangements;</w:t>
      </w:r>
    </w:p>
    <w:p w14:paraId="6508074B" w14:textId="77777777" w:rsidR="005A0215" w:rsidRPr="005A0215" w:rsidRDefault="005A0215" w:rsidP="005A0215">
      <w:pPr>
        <w:pStyle w:val="ListParagraph"/>
        <w:numPr>
          <w:ilvl w:val="0"/>
          <w:numId w:val="16"/>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assessment of optional participation by external private investors or DFIs and implications for dilution or governance.</w:t>
      </w:r>
    </w:p>
    <w:p w14:paraId="000CBB6A" w14:textId="77777777" w:rsidR="005A0215" w:rsidRPr="005A0215" w:rsidRDefault="005A0215" w:rsidP="005A0215">
      <w:pPr>
        <w:pStyle w:val="ListParagraph"/>
        <w:numPr>
          <w:ilvl w:val="0"/>
          <w:numId w:val="14"/>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 xml:space="preserve">Assessment of External Investor Participation (Optional): </w:t>
      </w:r>
      <w:r w:rsidRPr="005A0215">
        <w:rPr>
          <w:rFonts w:ascii="Times New Roman" w:hAnsi="Times New Roman"/>
          <w:color w:val="000000"/>
          <w:sz w:val="24"/>
          <w:szCs w:val="24"/>
        </w:rPr>
        <w:t>Where beneficial, undertake a targeted assessment of whether additional investors or DFIs should be invited to participate. Provide a recommendation to AC3 members on whether external participation adds commercial, operational, or financial value. If approved, proceed with the optional competitive process under Phase 3C.</w:t>
      </w:r>
    </w:p>
    <w:p w14:paraId="037E8BF5" w14:textId="77777777" w:rsidR="005A0215" w:rsidRPr="005A0215" w:rsidRDefault="005A0215" w:rsidP="005A0215">
      <w:pPr>
        <w:spacing w:after="0" w:line="240" w:lineRule="auto"/>
        <w:jc w:val="both"/>
        <w:rPr>
          <w:rFonts w:ascii="Times New Roman" w:hAnsi="Times New Roman"/>
          <w:bCs/>
          <w:color w:val="000000"/>
          <w:sz w:val="24"/>
          <w:szCs w:val="24"/>
        </w:rPr>
      </w:pPr>
    </w:p>
    <w:p w14:paraId="28CBDD32" w14:textId="77777777" w:rsidR="005A0215" w:rsidRPr="005A0215" w:rsidRDefault="005A0215" w:rsidP="005A0215">
      <w:pPr>
        <w:spacing w:after="0" w:line="240" w:lineRule="auto"/>
        <w:jc w:val="both"/>
        <w:rPr>
          <w:rFonts w:ascii="Times New Roman" w:eastAsiaTheme="minorEastAsia" w:hAnsi="Times New Roman"/>
          <w:b/>
          <w:sz w:val="24"/>
          <w:szCs w:val="24"/>
        </w:rPr>
      </w:pPr>
      <w:r w:rsidRPr="005A0215">
        <w:rPr>
          <w:rFonts w:ascii="Times New Roman" w:hAnsi="Times New Roman"/>
          <w:b/>
          <w:sz w:val="24"/>
          <w:szCs w:val="24"/>
        </w:rPr>
        <w:t>Phase 3 – SPV Incorporation, Corporate Structuring, and Legal-Commercial Alignment</w:t>
      </w:r>
    </w:p>
    <w:p w14:paraId="2FF18839" w14:textId="77777777" w:rsidR="005A0215" w:rsidRPr="005A0215" w:rsidRDefault="005A0215" w:rsidP="005A0215">
      <w:pPr>
        <w:spacing w:after="0" w:line="240" w:lineRule="auto"/>
        <w:jc w:val="both"/>
        <w:rPr>
          <w:rFonts w:ascii="Times New Roman" w:hAnsi="Times New Roman"/>
          <w:bCs/>
          <w:color w:val="000000"/>
          <w:sz w:val="24"/>
          <w:szCs w:val="24"/>
        </w:rPr>
      </w:pPr>
    </w:p>
    <w:p w14:paraId="6003B7CA" w14:textId="77777777" w:rsidR="005A0215" w:rsidRPr="005A0215" w:rsidRDefault="005A0215" w:rsidP="005A0215">
      <w:pPr>
        <w:pStyle w:val="ListParagraph"/>
        <w:numPr>
          <w:ilvl w:val="0"/>
          <w:numId w:val="17"/>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 xml:space="preserve">Preparation of Corporate Legal Instruments: </w:t>
      </w:r>
      <w:r w:rsidRPr="005A0215">
        <w:rPr>
          <w:rFonts w:ascii="Times New Roman" w:hAnsi="Times New Roman"/>
          <w:color w:val="000000"/>
          <w:sz w:val="24"/>
          <w:szCs w:val="24"/>
        </w:rPr>
        <w:t xml:space="preserve">Prepare all </w:t>
      </w:r>
      <w:r w:rsidRPr="005A0215">
        <w:rPr>
          <w:rFonts w:ascii="Times New Roman" w:eastAsiaTheme="minorEastAsia" w:hAnsi="Times New Roman"/>
          <w:color w:val="000000"/>
          <w:sz w:val="24"/>
          <w:szCs w:val="24"/>
        </w:rPr>
        <w:t>legal</w:t>
      </w:r>
      <w:r w:rsidRPr="005A0215">
        <w:rPr>
          <w:rFonts w:ascii="Times New Roman" w:hAnsi="Times New Roman"/>
          <w:color w:val="000000"/>
          <w:sz w:val="24"/>
          <w:szCs w:val="24"/>
        </w:rPr>
        <w:t xml:space="preserve"> </w:t>
      </w:r>
      <w:r w:rsidRPr="005A0215">
        <w:rPr>
          <w:rFonts w:ascii="Times New Roman" w:eastAsiaTheme="minorEastAsia" w:hAnsi="Times New Roman"/>
          <w:color w:val="000000"/>
          <w:sz w:val="24"/>
          <w:szCs w:val="24"/>
        </w:rPr>
        <w:t>instruments</w:t>
      </w:r>
      <w:r w:rsidRPr="005A0215">
        <w:rPr>
          <w:rFonts w:ascii="Times New Roman" w:hAnsi="Times New Roman"/>
          <w:color w:val="000000"/>
          <w:sz w:val="24"/>
          <w:szCs w:val="24"/>
        </w:rPr>
        <w:t xml:space="preserve"> required for the </w:t>
      </w:r>
      <w:r w:rsidRPr="005A0215">
        <w:rPr>
          <w:rFonts w:ascii="Times New Roman" w:eastAsiaTheme="minorEastAsia" w:hAnsi="Times New Roman"/>
          <w:color w:val="000000"/>
          <w:sz w:val="24"/>
          <w:szCs w:val="24"/>
        </w:rPr>
        <w:t xml:space="preserve">establishment and operation </w:t>
      </w:r>
      <w:r w:rsidRPr="005A0215">
        <w:rPr>
          <w:rFonts w:ascii="Times New Roman" w:hAnsi="Times New Roman"/>
          <w:color w:val="000000"/>
          <w:sz w:val="24"/>
          <w:szCs w:val="24"/>
        </w:rPr>
        <w:t xml:space="preserve">of AC3-Liberia, </w:t>
      </w:r>
      <w:r w:rsidRPr="005A0215">
        <w:rPr>
          <w:rFonts w:ascii="Times New Roman" w:eastAsiaTheme="minorEastAsia" w:hAnsi="Times New Roman"/>
          <w:color w:val="000000"/>
          <w:sz w:val="24"/>
          <w:szCs w:val="24"/>
        </w:rPr>
        <w:t xml:space="preserve">ensuring </w:t>
      </w:r>
      <w:r w:rsidRPr="005A0215">
        <w:rPr>
          <w:rFonts w:ascii="Times New Roman" w:hAnsi="Times New Roman"/>
          <w:color w:val="000000"/>
          <w:sz w:val="24"/>
          <w:szCs w:val="24"/>
        </w:rPr>
        <w:t>including alignment with the selected commercial and capital structure. Documents include:</w:t>
      </w:r>
      <w:r w:rsidRPr="005A0215">
        <w:rPr>
          <w:rFonts w:ascii="Times New Roman" w:eastAsiaTheme="minorEastAsia" w:hAnsi="Times New Roman"/>
          <w:color w:val="000000"/>
          <w:sz w:val="24"/>
          <w:szCs w:val="24"/>
        </w:rPr>
        <w:t xml:space="preserve"> </w:t>
      </w:r>
      <w:r w:rsidRPr="005A0215">
        <w:rPr>
          <w:rFonts w:ascii="Times New Roman" w:hAnsi="Times New Roman"/>
          <w:color w:val="000000"/>
          <w:sz w:val="24"/>
          <w:szCs w:val="24"/>
        </w:rPr>
        <w:t xml:space="preserve">the Articles of Incorporation, Bylaws, Shareholders’ Agreement, Subscription Agreements, </w:t>
      </w:r>
      <w:r w:rsidRPr="005A0215">
        <w:rPr>
          <w:rFonts w:ascii="Times New Roman" w:eastAsiaTheme="minorEastAsia" w:hAnsi="Times New Roman"/>
          <w:color w:val="000000"/>
          <w:sz w:val="24"/>
          <w:szCs w:val="24"/>
        </w:rPr>
        <w:t xml:space="preserve">Subscription Agreement, </w:t>
      </w:r>
      <w:r w:rsidRPr="005A0215">
        <w:rPr>
          <w:rFonts w:ascii="Times New Roman" w:hAnsi="Times New Roman"/>
          <w:color w:val="000000"/>
          <w:sz w:val="24"/>
          <w:szCs w:val="24"/>
        </w:rPr>
        <w:t xml:space="preserve">Corporate Governance Framework, Board Charter, and any additional founding instruments or annexes needed to ensure a coherent and legally sound SPV structure. </w:t>
      </w:r>
    </w:p>
    <w:p w14:paraId="09AEAC5C" w14:textId="77777777" w:rsidR="005A0215" w:rsidRPr="005A0215" w:rsidRDefault="005A0215" w:rsidP="005A0215">
      <w:pPr>
        <w:numPr>
          <w:ilvl w:val="0"/>
          <w:numId w:val="17"/>
        </w:numPr>
        <w:spacing w:after="0" w:line="240" w:lineRule="auto"/>
        <w:jc w:val="both"/>
        <w:rPr>
          <w:rFonts w:ascii="Times New Roman" w:hAnsi="Times New Roman"/>
          <w:color w:val="000000"/>
          <w:sz w:val="24"/>
          <w:szCs w:val="24"/>
        </w:rPr>
      </w:pPr>
      <w:r w:rsidRPr="005A0215">
        <w:rPr>
          <w:rFonts w:ascii="Times New Roman" w:hAnsi="Times New Roman"/>
          <w:b/>
          <w:color w:val="000000"/>
          <w:sz w:val="24"/>
          <w:szCs w:val="24"/>
        </w:rPr>
        <w:t>Governance and Commercial Framework Design:</w:t>
      </w:r>
      <w:r w:rsidRPr="005A0215">
        <w:rPr>
          <w:rFonts w:ascii="Times New Roman" w:hAnsi="Times New Roman"/>
          <w:color w:val="000000"/>
          <w:sz w:val="24"/>
          <w:szCs w:val="24"/>
        </w:rPr>
        <w:t xml:space="preserve"> Translate the preferred commercial structure into governance rules, shareholder rights and obligations, decision-making arrangements, participation conditions for operators, reporting requirements, dispute-resolution mechanisms, capital-call processes, and compliance obligations. Ensure consistency with Liberian law and international practice for shared international cable landing arrangements.</w:t>
      </w:r>
    </w:p>
    <w:p w14:paraId="0D16EF16" w14:textId="77777777" w:rsidR="005A0215" w:rsidRPr="005A0215" w:rsidRDefault="005A0215" w:rsidP="005A0215">
      <w:pPr>
        <w:pStyle w:val="ListParagraph"/>
        <w:numPr>
          <w:ilvl w:val="0"/>
          <w:numId w:val="17"/>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Alignment of Legal, Financial, and Commercial Structuring</w:t>
      </w:r>
      <w:r w:rsidRPr="005A0215">
        <w:rPr>
          <w:rFonts w:ascii="Times New Roman" w:eastAsiaTheme="minorEastAsia" w:hAnsi="Times New Roman"/>
          <w:b/>
          <w:bCs/>
          <w:color w:val="000000"/>
          <w:sz w:val="24"/>
          <w:szCs w:val="24"/>
        </w:rPr>
        <w:t xml:space="preserve">: </w:t>
      </w:r>
      <w:r w:rsidRPr="005A0215">
        <w:rPr>
          <w:rFonts w:ascii="Times New Roman" w:eastAsiaTheme="minorEastAsia" w:hAnsi="Times New Roman"/>
          <w:color w:val="000000"/>
          <w:sz w:val="24"/>
          <w:szCs w:val="24"/>
        </w:rPr>
        <w:t>Ensure full coherence between legal instruments, commercial terms, governance frameworks, financial model parameters, and capitalization designs. Conduct iterative joint reviews with AC3-Liberia members to harmonize assumptions and obligations across all documents.</w:t>
      </w:r>
    </w:p>
    <w:p w14:paraId="012A76A9" w14:textId="7AD50B68" w:rsidR="006E1D83" w:rsidRPr="00370E82" w:rsidRDefault="006E1D83" w:rsidP="005A0215">
      <w:pPr>
        <w:pStyle w:val="ListParagraph"/>
        <w:numPr>
          <w:ilvl w:val="0"/>
          <w:numId w:val="17"/>
        </w:numPr>
        <w:spacing w:after="0" w:line="240" w:lineRule="auto"/>
        <w:jc w:val="both"/>
        <w:rPr>
          <w:rFonts w:ascii="Times New Roman" w:hAnsi="Times New Roman"/>
          <w:color w:val="000000"/>
          <w:sz w:val="24"/>
          <w:szCs w:val="24"/>
        </w:rPr>
      </w:pPr>
      <w:r w:rsidRPr="006E1D83">
        <w:rPr>
          <w:rFonts w:ascii="Times New Roman" w:hAnsi="Times New Roman"/>
          <w:b/>
          <w:bCs/>
          <w:color w:val="000000"/>
          <w:sz w:val="24"/>
          <w:szCs w:val="24"/>
        </w:rPr>
        <w:t>Project Implementation Manual (PIM) for the SPV:</w:t>
      </w:r>
      <w:r w:rsidRPr="006E1D83">
        <w:rPr>
          <w:rFonts w:ascii="Times New Roman" w:hAnsi="Times New Roman"/>
          <w:color w:val="000000"/>
          <w:sz w:val="24"/>
          <w:szCs w:val="24"/>
        </w:rPr>
        <w:t> Prepare a draft PIM that serves as the operational handbook for AC3-Liberia, covering how the SPV will be governed, capitalized, and managed, and how it will carry out its responsibilities under the project. The PIM shall include the SPV's governance and decision-making structure, capitalization arrangements and equity contribution process, operational procedures, criteria and process for admitting private Licensed Telecommunications Operators as shareholders, and the legal and regulatory framework within which the SPV operates.</w:t>
      </w:r>
    </w:p>
    <w:p w14:paraId="43DED22B" w14:textId="08BACBD6" w:rsidR="005A0215" w:rsidRPr="005A0215" w:rsidRDefault="005A0215" w:rsidP="005A0215">
      <w:pPr>
        <w:pStyle w:val="ListParagraph"/>
        <w:numPr>
          <w:ilvl w:val="0"/>
          <w:numId w:val="17"/>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Optional Competitive Process for External Investors</w:t>
      </w:r>
      <w:r w:rsidRPr="005A0215">
        <w:rPr>
          <w:rFonts w:ascii="Times New Roman" w:eastAsiaTheme="minorEastAsia" w:hAnsi="Times New Roman"/>
          <w:b/>
          <w:bCs/>
          <w:color w:val="000000"/>
          <w:sz w:val="24"/>
          <w:szCs w:val="24"/>
        </w:rPr>
        <w:t xml:space="preserve">: </w:t>
      </w:r>
      <w:r w:rsidRPr="005A0215">
        <w:rPr>
          <w:rFonts w:ascii="Times New Roman" w:hAnsi="Times New Roman"/>
          <w:color w:val="000000"/>
          <w:sz w:val="24"/>
          <w:szCs w:val="24"/>
        </w:rPr>
        <w:t>If external participation is recommended and approved:</w:t>
      </w:r>
    </w:p>
    <w:p w14:paraId="563197C8" w14:textId="77777777" w:rsidR="005A0215" w:rsidRPr="005A0215" w:rsidRDefault="005A0215" w:rsidP="005A0215">
      <w:pPr>
        <w:pStyle w:val="ListParagraph"/>
        <w:numPr>
          <w:ilvl w:val="0"/>
          <w:numId w:val="16"/>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develop financial and commercial sections for Initial Selection (IS) and RFP documents;</w:t>
      </w:r>
    </w:p>
    <w:p w14:paraId="4798BD88" w14:textId="77777777" w:rsidR="005A0215" w:rsidRPr="005A0215" w:rsidRDefault="005A0215" w:rsidP="005A0215">
      <w:pPr>
        <w:pStyle w:val="ListParagraph"/>
        <w:numPr>
          <w:ilvl w:val="0"/>
          <w:numId w:val="16"/>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support evaluation criteria and financial-compliance scoring;</w:t>
      </w:r>
    </w:p>
    <w:p w14:paraId="49ABD722" w14:textId="77777777" w:rsidR="005A0215" w:rsidRPr="005A0215" w:rsidRDefault="005A0215" w:rsidP="005A0215">
      <w:pPr>
        <w:pStyle w:val="ListParagraph"/>
        <w:numPr>
          <w:ilvl w:val="0"/>
          <w:numId w:val="16"/>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review and advise on bidder submissions.</w:t>
      </w:r>
    </w:p>
    <w:p w14:paraId="60690D30" w14:textId="77777777" w:rsidR="005A0215" w:rsidRPr="005A0215" w:rsidRDefault="005A0215" w:rsidP="005A0215">
      <w:pPr>
        <w:pStyle w:val="ListParagraph"/>
        <w:spacing w:after="0" w:line="240" w:lineRule="auto"/>
        <w:ind w:left="360"/>
        <w:jc w:val="both"/>
        <w:rPr>
          <w:rFonts w:ascii="Times New Roman" w:hAnsi="Times New Roman"/>
          <w:color w:val="000000"/>
          <w:sz w:val="24"/>
          <w:szCs w:val="24"/>
        </w:rPr>
      </w:pPr>
      <w:r w:rsidRPr="005A0215">
        <w:rPr>
          <w:rFonts w:ascii="Times New Roman" w:hAnsi="Times New Roman"/>
          <w:color w:val="000000"/>
          <w:sz w:val="24"/>
          <w:szCs w:val="24"/>
        </w:rPr>
        <w:t>No process will be launched unless explicitly requested by AC3-Liberia.</w:t>
      </w:r>
    </w:p>
    <w:p w14:paraId="392BE279" w14:textId="77777777" w:rsidR="005A0215" w:rsidRPr="005A0215" w:rsidRDefault="005A0215" w:rsidP="005A0215">
      <w:pPr>
        <w:spacing w:after="0" w:line="240" w:lineRule="auto"/>
        <w:jc w:val="both"/>
        <w:rPr>
          <w:rFonts w:ascii="Times New Roman" w:eastAsiaTheme="minorEastAsia" w:hAnsi="Times New Roman"/>
          <w:b/>
          <w:sz w:val="24"/>
          <w:szCs w:val="24"/>
        </w:rPr>
      </w:pPr>
    </w:p>
    <w:p w14:paraId="639C1558" w14:textId="77777777" w:rsidR="005A0215" w:rsidRPr="005A0215" w:rsidRDefault="005A0215" w:rsidP="005A0215">
      <w:pPr>
        <w:spacing w:after="0" w:line="240" w:lineRule="auto"/>
        <w:jc w:val="both"/>
        <w:rPr>
          <w:rFonts w:ascii="Times New Roman" w:hAnsi="Times New Roman"/>
          <w:b/>
          <w:sz w:val="24"/>
          <w:szCs w:val="24"/>
        </w:rPr>
      </w:pPr>
      <w:r w:rsidRPr="005A0215">
        <w:rPr>
          <w:rFonts w:ascii="Times New Roman" w:hAnsi="Times New Roman"/>
          <w:b/>
          <w:sz w:val="24"/>
          <w:szCs w:val="24"/>
        </w:rPr>
        <w:t xml:space="preserve">Phase </w:t>
      </w:r>
      <w:r w:rsidRPr="005A0215">
        <w:rPr>
          <w:rFonts w:ascii="Times New Roman" w:eastAsiaTheme="minorEastAsia" w:hAnsi="Times New Roman"/>
          <w:b/>
          <w:sz w:val="24"/>
          <w:szCs w:val="24"/>
        </w:rPr>
        <w:t>4</w:t>
      </w:r>
      <w:r w:rsidRPr="005A0215">
        <w:rPr>
          <w:rFonts w:ascii="Times New Roman" w:hAnsi="Times New Roman"/>
          <w:b/>
          <w:sz w:val="24"/>
          <w:szCs w:val="24"/>
        </w:rPr>
        <w:t xml:space="preserve"> –Negotiation, </w:t>
      </w:r>
      <w:r w:rsidRPr="005A0215">
        <w:rPr>
          <w:rFonts w:ascii="Times New Roman" w:eastAsiaTheme="minorEastAsia" w:hAnsi="Times New Roman"/>
          <w:b/>
          <w:sz w:val="24"/>
          <w:szCs w:val="24"/>
        </w:rPr>
        <w:t xml:space="preserve">Document Finalization, </w:t>
      </w:r>
      <w:r w:rsidRPr="005A0215">
        <w:rPr>
          <w:rFonts w:ascii="Times New Roman" w:hAnsi="Times New Roman"/>
          <w:b/>
          <w:sz w:val="24"/>
          <w:szCs w:val="24"/>
        </w:rPr>
        <w:t>and Financial Close</w:t>
      </w:r>
      <w:r w:rsidRPr="005A0215" w:rsidDel="00311711">
        <w:rPr>
          <w:rFonts w:ascii="Times New Roman" w:hAnsi="Times New Roman"/>
          <w:b/>
          <w:sz w:val="24"/>
          <w:szCs w:val="24"/>
        </w:rPr>
        <w:t xml:space="preserve"> </w:t>
      </w:r>
      <w:r w:rsidRPr="005A0215">
        <w:rPr>
          <w:rFonts w:ascii="Times New Roman" w:eastAsiaTheme="minorEastAsia" w:hAnsi="Times New Roman"/>
          <w:b/>
          <w:sz w:val="24"/>
          <w:szCs w:val="24"/>
        </w:rPr>
        <w:t>Preparation</w:t>
      </w:r>
    </w:p>
    <w:p w14:paraId="75EBC58E" w14:textId="77777777" w:rsidR="005A0215" w:rsidRPr="005A0215" w:rsidRDefault="005A0215" w:rsidP="005A0215">
      <w:pPr>
        <w:spacing w:after="0" w:line="240" w:lineRule="auto"/>
        <w:jc w:val="both"/>
        <w:rPr>
          <w:rFonts w:ascii="Times New Roman" w:eastAsiaTheme="minorEastAsia" w:hAnsi="Times New Roman"/>
          <w:b/>
          <w:sz w:val="24"/>
          <w:szCs w:val="24"/>
        </w:rPr>
      </w:pPr>
    </w:p>
    <w:p w14:paraId="7106CAB3" w14:textId="77777777" w:rsidR="005A0215" w:rsidRPr="005A0215" w:rsidRDefault="005A0215" w:rsidP="005A0215">
      <w:pPr>
        <w:numPr>
          <w:ilvl w:val="0"/>
          <w:numId w:val="13"/>
        </w:numPr>
        <w:spacing w:after="0" w:line="240" w:lineRule="auto"/>
        <w:jc w:val="both"/>
        <w:rPr>
          <w:rFonts w:ascii="Times New Roman" w:hAnsi="Times New Roman"/>
          <w:color w:val="000000"/>
          <w:sz w:val="24"/>
          <w:szCs w:val="24"/>
        </w:rPr>
      </w:pPr>
      <w:r w:rsidRPr="005A0215">
        <w:rPr>
          <w:rFonts w:ascii="Times New Roman" w:hAnsi="Times New Roman"/>
          <w:b/>
          <w:color w:val="000000"/>
          <w:sz w:val="24"/>
          <w:szCs w:val="24"/>
        </w:rPr>
        <w:t>Negotiation Support:</w:t>
      </w:r>
      <w:r w:rsidRPr="005A0215">
        <w:rPr>
          <w:rFonts w:ascii="Times New Roman" w:hAnsi="Times New Roman"/>
          <w:color w:val="000000"/>
          <w:sz w:val="24"/>
          <w:szCs w:val="24"/>
        </w:rPr>
        <w:t xml:space="preserve"> Support AC3-Liberia in negotiations with shareholders – and if applicable, external investors and DFIs. Review financing offers, term sheets, and investment commitments. Ensure all negotiated terms remain aligned with the SPV’s financial model, capital structure, and governance structure.</w:t>
      </w:r>
    </w:p>
    <w:p w14:paraId="6E960C86" w14:textId="7AB949BC" w:rsidR="00F77631" w:rsidRPr="005A0215" w:rsidRDefault="005A0215" w:rsidP="005A0215">
      <w:pPr>
        <w:numPr>
          <w:ilvl w:val="0"/>
          <w:numId w:val="13"/>
        </w:numPr>
        <w:spacing w:after="0" w:line="240" w:lineRule="auto"/>
        <w:jc w:val="both"/>
        <w:rPr>
          <w:rFonts w:ascii="Times New Roman" w:hAnsi="Times New Roman"/>
          <w:color w:val="000000"/>
          <w:sz w:val="24"/>
          <w:szCs w:val="24"/>
        </w:rPr>
      </w:pPr>
      <w:r w:rsidRPr="005A0215">
        <w:rPr>
          <w:rFonts w:ascii="Times New Roman" w:eastAsiaTheme="minorEastAsia" w:hAnsi="Times New Roman"/>
          <w:b/>
          <w:color w:val="000000"/>
          <w:sz w:val="24"/>
          <w:szCs w:val="24"/>
        </w:rPr>
        <w:t>Finalization of Corporate, Commercial, and Legal Documentation:</w:t>
      </w:r>
      <w:r w:rsidRPr="005A0215">
        <w:rPr>
          <w:rFonts w:ascii="Times New Roman" w:eastAsiaTheme="minorEastAsia" w:hAnsi="Times New Roman"/>
          <w:color w:val="000000"/>
          <w:sz w:val="24"/>
          <w:szCs w:val="24"/>
        </w:rPr>
        <w:t xml:space="preserve"> Revise legal and commercial documents to reflect negotiation outcomes and ensure consistency with the final commercial and capitalization structure. Confirm enforceability and completeness.</w:t>
      </w:r>
      <w:r w:rsidR="006E1D83">
        <w:rPr>
          <w:rFonts w:ascii="Times New Roman" w:eastAsiaTheme="minorEastAsia" w:hAnsi="Times New Roman"/>
          <w:color w:val="000000"/>
          <w:sz w:val="24"/>
          <w:szCs w:val="24"/>
        </w:rPr>
        <w:t xml:space="preserve"> </w:t>
      </w:r>
    </w:p>
    <w:p w14:paraId="574501FA" w14:textId="77777777" w:rsidR="005A0215" w:rsidRPr="005A0215" w:rsidRDefault="005A0215" w:rsidP="005A0215">
      <w:pPr>
        <w:numPr>
          <w:ilvl w:val="0"/>
          <w:numId w:val="13"/>
        </w:numPr>
        <w:spacing w:after="0" w:line="240" w:lineRule="auto"/>
        <w:jc w:val="both"/>
        <w:rPr>
          <w:rFonts w:ascii="Times New Roman" w:hAnsi="Times New Roman"/>
          <w:color w:val="000000"/>
          <w:sz w:val="24"/>
          <w:szCs w:val="24"/>
        </w:rPr>
      </w:pPr>
      <w:r w:rsidRPr="005A0215">
        <w:rPr>
          <w:rFonts w:ascii="Times New Roman" w:hAnsi="Times New Roman"/>
          <w:b/>
          <w:color w:val="000000"/>
          <w:sz w:val="24"/>
          <w:szCs w:val="24"/>
        </w:rPr>
        <w:t xml:space="preserve">Financial Close </w:t>
      </w:r>
      <w:r w:rsidRPr="005A0215">
        <w:rPr>
          <w:rFonts w:ascii="Times New Roman" w:eastAsiaTheme="minorEastAsia" w:hAnsi="Times New Roman"/>
          <w:b/>
          <w:color w:val="000000"/>
          <w:sz w:val="24"/>
          <w:szCs w:val="24"/>
        </w:rPr>
        <w:t xml:space="preserve">Package </w:t>
      </w:r>
      <w:r w:rsidRPr="005A0215">
        <w:rPr>
          <w:rFonts w:ascii="Times New Roman" w:hAnsi="Times New Roman"/>
          <w:b/>
          <w:color w:val="000000"/>
          <w:sz w:val="24"/>
          <w:szCs w:val="24"/>
        </w:rPr>
        <w:t xml:space="preserve">and </w:t>
      </w:r>
      <w:r w:rsidRPr="005A0215">
        <w:rPr>
          <w:rFonts w:ascii="Times New Roman" w:eastAsiaTheme="minorEastAsia" w:hAnsi="Times New Roman"/>
          <w:b/>
          <w:color w:val="000000"/>
          <w:sz w:val="24"/>
          <w:szCs w:val="24"/>
        </w:rPr>
        <w:t>Roadmap</w:t>
      </w:r>
      <w:r w:rsidRPr="005A0215">
        <w:rPr>
          <w:rFonts w:ascii="Times New Roman" w:hAnsi="Times New Roman"/>
          <w:b/>
          <w:color w:val="000000"/>
          <w:sz w:val="24"/>
          <w:szCs w:val="24"/>
        </w:rPr>
        <w:t>:</w:t>
      </w:r>
      <w:r w:rsidRPr="005A0215">
        <w:rPr>
          <w:rFonts w:ascii="Times New Roman" w:hAnsi="Times New Roman"/>
          <w:color w:val="000000"/>
          <w:sz w:val="24"/>
          <w:szCs w:val="24"/>
        </w:rPr>
        <w:t xml:space="preserve"> Prepare the Financial Close Package, including the financing plan, capital structure narrative, valuation summaries (cash and in-kind contributions), </w:t>
      </w:r>
      <w:r w:rsidRPr="005A0215">
        <w:rPr>
          <w:rFonts w:ascii="Times New Roman" w:eastAsiaTheme="minorEastAsia" w:hAnsi="Times New Roman"/>
          <w:color w:val="000000"/>
          <w:sz w:val="24"/>
          <w:szCs w:val="24"/>
        </w:rPr>
        <w:t xml:space="preserve">commercial structure and </w:t>
      </w:r>
      <w:r w:rsidRPr="005A0215">
        <w:rPr>
          <w:rFonts w:ascii="Times New Roman" w:hAnsi="Times New Roman"/>
          <w:color w:val="000000"/>
          <w:sz w:val="24"/>
          <w:szCs w:val="24"/>
        </w:rPr>
        <w:t xml:space="preserve">risk allocation </w:t>
      </w:r>
      <w:r w:rsidRPr="005A0215">
        <w:rPr>
          <w:rFonts w:ascii="Times New Roman" w:eastAsiaTheme="minorEastAsia" w:hAnsi="Times New Roman"/>
          <w:color w:val="000000"/>
          <w:sz w:val="24"/>
          <w:szCs w:val="24"/>
        </w:rPr>
        <w:t>summary</w:t>
      </w:r>
      <w:r w:rsidRPr="005A0215">
        <w:rPr>
          <w:rFonts w:ascii="Times New Roman" w:hAnsi="Times New Roman"/>
          <w:color w:val="000000"/>
          <w:sz w:val="24"/>
          <w:szCs w:val="24"/>
        </w:rPr>
        <w:t xml:space="preserve">, supporting model outputs, required by financiers. Develop a roadmap and checklist for financial close and support AC3-Liberia in fulfilling conditions precedent, executing equity subscription steps, and completing capitalization processes. </w:t>
      </w:r>
    </w:p>
    <w:p w14:paraId="0D69AB31" w14:textId="77777777" w:rsidR="005A0215" w:rsidRDefault="005A0215" w:rsidP="005A0215">
      <w:pPr>
        <w:numPr>
          <w:ilvl w:val="0"/>
          <w:numId w:val="13"/>
        </w:numPr>
        <w:spacing w:after="0" w:line="240" w:lineRule="auto"/>
        <w:jc w:val="both"/>
        <w:rPr>
          <w:rFonts w:ascii="Times New Roman" w:hAnsi="Times New Roman"/>
          <w:color w:val="000000"/>
          <w:sz w:val="24"/>
          <w:szCs w:val="24"/>
        </w:rPr>
      </w:pPr>
      <w:r w:rsidRPr="005A0215">
        <w:rPr>
          <w:rFonts w:ascii="Times New Roman" w:hAnsi="Times New Roman"/>
          <w:b/>
          <w:bCs/>
          <w:color w:val="000000"/>
          <w:sz w:val="24"/>
          <w:szCs w:val="24"/>
        </w:rPr>
        <w:t>Optional Interface Support with WARDIP Implementation</w:t>
      </w:r>
      <w:r w:rsidRPr="005A0215">
        <w:rPr>
          <w:rFonts w:ascii="Times New Roman" w:eastAsiaTheme="minorEastAsia" w:hAnsi="Times New Roman"/>
          <w:b/>
          <w:bCs/>
          <w:color w:val="000000"/>
          <w:sz w:val="24"/>
          <w:szCs w:val="24"/>
        </w:rPr>
        <w:t xml:space="preserve">: </w:t>
      </w:r>
      <w:r w:rsidRPr="005A0215">
        <w:rPr>
          <w:rFonts w:ascii="Times New Roman" w:hAnsi="Times New Roman"/>
          <w:color w:val="000000"/>
          <w:sz w:val="24"/>
          <w:szCs w:val="24"/>
        </w:rPr>
        <w:t>If requested, provide inputs on how AC3-Liberia’s governance, reporting, and capitalization arrangements interface with WARDIP project implementation processes (e.g., sequencing of approvals, Government equity contributions, PIU coordination).</w:t>
      </w:r>
    </w:p>
    <w:p w14:paraId="29D92256" w14:textId="77777777" w:rsidR="005A0215" w:rsidRPr="005A0215" w:rsidRDefault="005A0215" w:rsidP="005A0215">
      <w:pPr>
        <w:spacing w:after="0" w:line="240" w:lineRule="auto"/>
        <w:jc w:val="both"/>
        <w:rPr>
          <w:rFonts w:ascii="Times New Roman" w:eastAsiaTheme="minorEastAsia" w:hAnsi="Times New Roman"/>
          <w:sz w:val="24"/>
          <w:szCs w:val="24"/>
        </w:rPr>
      </w:pPr>
    </w:p>
    <w:p w14:paraId="0A07052D" w14:textId="77777777" w:rsidR="005A0215" w:rsidRPr="005A0215" w:rsidRDefault="005A0215" w:rsidP="005A0215">
      <w:pPr>
        <w:spacing w:after="0" w:line="240" w:lineRule="auto"/>
        <w:jc w:val="both"/>
        <w:rPr>
          <w:rFonts w:ascii="Times New Roman" w:eastAsiaTheme="minorEastAsia" w:hAnsi="Times New Roman"/>
          <w:b/>
          <w:sz w:val="24"/>
          <w:szCs w:val="24"/>
        </w:rPr>
      </w:pPr>
      <w:r w:rsidRPr="005A0215">
        <w:rPr>
          <w:rFonts w:ascii="Times New Roman" w:hAnsi="Times New Roman"/>
          <w:b/>
          <w:sz w:val="24"/>
          <w:szCs w:val="24"/>
        </w:rPr>
        <w:t xml:space="preserve">Phase </w:t>
      </w:r>
      <w:r w:rsidRPr="005A0215">
        <w:rPr>
          <w:rFonts w:ascii="Times New Roman" w:eastAsiaTheme="minorEastAsia" w:hAnsi="Times New Roman"/>
          <w:b/>
          <w:sz w:val="24"/>
          <w:szCs w:val="24"/>
        </w:rPr>
        <w:t>5</w:t>
      </w:r>
      <w:r w:rsidRPr="005A0215">
        <w:rPr>
          <w:rFonts w:ascii="Times New Roman" w:hAnsi="Times New Roman"/>
          <w:b/>
          <w:sz w:val="24"/>
          <w:szCs w:val="24"/>
        </w:rPr>
        <w:t xml:space="preserve"> – </w:t>
      </w:r>
      <w:r w:rsidRPr="005A0215">
        <w:rPr>
          <w:rFonts w:ascii="Times New Roman" w:eastAsiaTheme="minorEastAsia" w:hAnsi="Times New Roman"/>
          <w:b/>
          <w:sz w:val="24"/>
          <w:szCs w:val="24"/>
        </w:rPr>
        <w:t>Final Report and Handover</w:t>
      </w:r>
    </w:p>
    <w:p w14:paraId="4A5E5136" w14:textId="77777777" w:rsidR="005A0215" w:rsidRPr="005A0215" w:rsidRDefault="005A0215" w:rsidP="005A0215">
      <w:pPr>
        <w:spacing w:after="0" w:line="240" w:lineRule="auto"/>
        <w:jc w:val="both"/>
        <w:rPr>
          <w:rFonts w:ascii="Times New Roman" w:eastAsiaTheme="minorEastAsia" w:hAnsi="Times New Roman"/>
          <w:b/>
          <w:sz w:val="24"/>
          <w:szCs w:val="24"/>
        </w:rPr>
      </w:pPr>
    </w:p>
    <w:p w14:paraId="1F5E517F" w14:textId="77777777" w:rsidR="005A0215" w:rsidRPr="005A0215" w:rsidRDefault="005A0215" w:rsidP="005A0215">
      <w:p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Prepare and submit a consolidated final report, including:</w:t>
      </w:r>
    </w:p>
    <w:p w14:paraId="0069368E" w14:textId="77777777" w:rsidR="005A0215" w:rsidRPr="005A0215" w:rsidRDefault="005A0215" w:rsidP="005A0215">
      <w:pPr>
        <w:pStyle w:val="ListParagraph"/>
        <w:numPr>
          <w:ilvl w:val="0"/>
          <w:numId w:val="15"/>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Final legal documentation.</w:t>
      </w:r>
    </w:p>
    <w:p w14:paraId="5F5E88A7" w14:textId="77777777" w:rsidR="005A0215" w:rsidRPr="005A0215" w:rsidRDefault="005A0215" w:rsidP="005A0215">
      <w:pPr>
        <w:pStyle w:val="ListParagraph"/>
        <w:numPr>
          <w:ilvl w:val="0"/>
          <w:numId w:val="15"/>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Financial model (editable with user guide)</w:t>
      </w:r>
    </w:p>
    <w:p w14:paraId="48AD48CF" w14:textId="77777777" w:rsidR="005A0215" w:rsidRPr="005A0215" w:rsidRDefault="005A0215" w:rsidP="005A0215">
      <w:pPr>
        <w:pStyle w:val="ListParagraph"/>
        <w:numPr>
          <w:ilvl w:val="0"/>
          <w:numId w:val="15"/>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Valuation assessments (cash and in-kind)</w:t>
      </w:r>
    </w:p>
    <w:p w14:paraId="3ACF02C5" w14:textId="77777777" w:rsidR="005A0215" w:rsidRPr="005A0215" w:rsidRDefault="005A0215" w:rsidP="005A0215">
      <w:pPr>
        <w:pStyle w:val="ListParagraph"/>
        <w:numPr>
          <w:ilvl w:val="0"/>
          <w:numId w:val="15"/>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Commercial term sheets</w:t>
      </w:r>
    </w:p>
    <w:p w14:paraId="32AA03AD" w14:textId="77777777" w:rsidR="005A0215" w:rsidRPr="005A0215" w:rsidRDefault="005A0215" w:rsidP="005A0215">
      <w:pPr>
        <w:pStyle w:val="ListParagraph"/>
        <w:numPr>
          <w:ilvl w:val="0"/>
          <w:numId w:val="15"/>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Capital structure and financial close documents</w:t>
      </w:r>
    </w:p>
    <w:p w14:paraId="3F5BE1F5" w14:textId="77777777" w:rsidR="005A0215" w:rsidRPr="005A0215" w:rsidRDefault="005A0215" w:rsidP="005A0215">
      <w:pPr>
        <w:pStyle w:val="ListParagraph"/>
        <w:numPr>
          <w:ilvl w:val="0"/>
          <w:numId w:val="15"/>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 xml:space="preserve">Investor </w:t>
      </w:r>
      <w:r w:rsidRPr="005A0215">
        <w:rPr>
          <w:rFonts w:ascii="Times New Roman" w:eastAsiaTheme="minorEastAsia" w:hAnsi="Times New Roman"/>
          <w:bCs/>
          <w:color w:val="000000"/>
          <w:sz w:val="24"/>
          <w:szCs w:val="24"/>
        </w:rPr>
        <w:t>participation analysis</w:t>
      </w:r>
      <w:r w:rsidRPr="005A0215">
        <w:rPr>
          <w:rFonts w:ascii="Times New Roman" w:hAnsi="Times New Roman"/>
          <w:bCs/>
          <w:color w:val="000000"/>
          <w:sz w:val="24"/>
          <w:szCs w:val="24"/>
        </w:rPr>
        <w:t xml:space="preserve"> (if applicable)</w:t>
      </w:r>
    </w:p>
    <w:p w14:paraId="42F8533D" w14:textId="77777777" w:rsidR="005A0215" w:rsidRDefault="005A0215" w:rsidP="005A0215">
      <w:pPr>
        <w:pStyle w:val="ListParagraph"/>
        <w:numPr>
          <w:ilvl w:val="0"/>
          <w:numId w:val="15"/>
        </w:numPr>
        <w:spacing w:after="0" w:line="240" w:lineRule="auto"/>
        <w:jc w:val="both"/>
        <w:rPr>
          <w:rFonts w:ascii="Times New Roman" w:hAnsi="Times New Roman"/>
          <w:bCs/>
          <w:color w:val="000000"/>
          <w:sz w:val="24"/>
          <w:szCs w:val="24"/>
        </w:rPr>
      </w:pPr>
      <w:r w:rsidRPr="005A0215">
        <w:rPr>
          <w:rFonts w:ascii="Times New Roman" w:hAnsi="Times New Roman"/>
          <w:bCs/>
          <w:color w:val="000000"/>
          <w:sz w:val="24"/>
          <w:szCs w:val="24"/>
        </w:rPr>
        <w:t>Operationalization roadmap for AC3-Liberia</w:t>
      </w:r>
    </w:p>
    <w:p w14:paraId="6FE27510" w14:textId="4457E9B6" w:rsidR="008C64FD" w:rsidRPr="005A0215" w:rsidRDefault="008C64FD" w:rsidP="005A0215">
      <w:pPr>
        <w:pStyle w:val="ListParagraph"/>
        <w:numPr>
          <w:ilvl w:val="0"/>
          <w:numId w:val="15"/>
        </w:num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Project Implementation Manual (PIM)</w:t>
      </w:r>
      <w:r w:rsidR="006E1D83">
        <w:rPr>
          <w:rFonts w:ascii="Times New Roman" w:hAnsi="Times New Roman"/>
          <w:bCs/>
          <w:color w:val="000000"/>
          <w:sz w:val="24"/>
          <w:szCs w:val="24"/>
        </w:rPr>
        <w:t xml:space="preserve"> for the SPV</w:t>
      </w:r>
    </w:p>
    <w:p w14:paraId="1DD6F697" w14:textId="77777777" w:rsidR="00D94025" w:rsidRPr="005A0215" w:rsidRDefault="00D94025" w:rsidP="005A0215">
      <w:pPr>
        <w:spacing w:after="0"/>
        <w:jc w:val="both"/>
        <w:rPr>
          <w:rFonts w:ascii="Times New Roman" w:eastAsiaTheme="minorEastAsia" w:hAnsi="Times New Roman"/>
          <w:b/>
          <w:bCs/>
          <w:color w:val="000000" w:themeColor="text1"/>
          <w:sz w:val="24"/>
          <w:szCs w:val="24"/>
          <w:lang w:val="en-GB"/>
        </w:rPr>
      </w:pPr>
    </w:p>
    <w:p w14:paraId="7A1F3D8F" w14:textId="1D18C0CD" w:rsidR="00DA111E" w:rsidRPr="005A0215" w:rsidRDefault="00DA111E" w:rsidP="005A0215">
      <w:pPr>
        <w:spacing w:after="0"/>
        <w:jc w:val="both"/>
        <w:rPr>
          <w:rFonts w:ascii="Times New Roman" w:eastAsia="Times New Roman" w:hAnsi="Times New Roman"/>
          <w:b/>
          <w:bCs/>
          <w:color w:val="000000" w:themeColor="text1"/>
          <w:sz w:val="24"/>
          <w:szCs w:val="24"/>
        </w:rPr>
      </w:pPr>
      <w:r w:rsidRPr="005A0215">
        <w:rPr>
          <w:rFonts w:ascii="Times New Roman" w:eastAsia="Times New Roman" w:hAnsi="Times New Roman"/>
          <w:b/>
          <w:bCs/>
          <w:color w:val="000000" w:themeColor="text1"/>
          <w:sz w:val="24"/>
          <w:szCs w:val="24"/>
        </w:rPr>
        <w:t>4. DURATION</w:t>
      </w:r>
      <w:r w:rsidR="005A0215" w:rsidRPr="005A0215">
        <w:rPr>
          <w:rFonts w:ascii="Times New Roman" w:eastAsia="Times New Roman" w:hAnsi="Times New Roman"/>
          <w:b/>
          <w:bCs/>
          <w:color w:val="000000" w:themeColor="text1"/>
          <w:sz w:val="24"/>
          <w:szCs w:val="24"/>
        </w:rPr>
        <w:t>, DELIVERABLES</w:t>
      </w:r>
      <w:r w:rsidRPr="005A0215">
        <w:rPr>
          <w:rFonts w:ascii="Times New Roman" w:eastAsia="Times New Roman" w:hAnsi="Times New Roman"/>
          <w:b/>
          <w:bCs/>
          <w:color w:val="000000" w:themeColor="text1"/>
          <w:sz w:val="24"/>
          <w:szCs w:val="24"/>
        </w:rPr>
        <w:t xml:space="preserve"> OF THE ASSIGNMENT, AND PAYMENT SCHEDULE </w:t>
      </w:r>
    </w:p>
    <w:p w14:paraId="32BD4950" w14:textId="77777777" w:rsidR="005A0215" w:rsidRPr="005A0215" w:rsidRDefault="005A0215" w:rsidP="005A0215">
      <w:pPr>
        <w:spacing w:after="0"/>
        <w:jc w:val="both"/>
        <w:rPr>
          <w:rFonts w:ascii="Times New Roman" w:eastAsia="Times New Roman" w:hAnsi="Times New Roman"/>
          <w:b/>
          <w:bCs/>
          <w:color w:val="000000" w:themeColor="text1"/>
          <w:sz w:val="24"/>
          <w:szCs w:val="24"/>
        </w:rPr>
      </w:pPr>
    </w:p>
    <w:p w14:paraId="19D3C0F0"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The assignment is expected to last 12 months (365 days) or until financial close of AC3-Liberia, whichever occurs first.</w:t>
      </w:r>
    </w:p>
    <w:p w14:paraId="6B9D6E08"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Payments will be made upon acceptance of the following deliverables:</w:t>
      </w:r>
    </w:p>
    <w:p w14:paraId="1193279D" w14:textId="77777777" w:rsidR="005A0215" w:rsidRPr="005A0215" w:rsidRDefault="005A0215" w:rsidP="005A0215">
      <w:pPr>
        <w:spacing w:after="0" w:line="240" w:lineRule="auto"/>
        <w:jc w:val="both"/>
        <w:rPr>
          <w:rFonts w:ascii="Times New Roman" w:eastAsiaTheme="minorEastAsia" w:hAnsi="Times New Roman"/>
          <w:sz w:val="24"/>
          <w:szCs w:val="24"/>
        </w:rPr>
      </w:pPr>
    </w:p>
    <w:tbl>
      <w:tblPr>
        <w:tblStyle w:val="TableGrid"/>
        <w:tblW w:w="0" w:type="auto"/>
        <w:tblLook w:val="04A0" w:firstRow="1" w:lastRow="0" w:firstColumn="1" w:lastColumn="0" w:noHBand="0" w:noVBand="1"/>
      </w:tblPr>
      <w:tblGrid>
        <w:gridCol w:w="1963"/>
        <w:gridCol w:w="5773"/>
        <w:gridCol w:w="1120"/>
      </w:tblGrid>
      <w:tr w:rsidR="005A0215" w:rsidRPr="005A0215" w14:paraId="7F3E9F60" w14:textId="77777777" w:rsidTr="004C6D2D">
        <w:tc>
          <w:tcPr>
            <w:tcW w:w="0" w:type="auto"/>
            <w:hideMark/>
          </w:tcPr>
          <w:p w14:paraId="55636B81"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Timeline</w:t>
            </w:r>
          </w:p>
        </w:tc>
        <w:tc>
          <w:tcPr>
            <w:tcW w:w="0" w:type="auto"/>
            <w:hideMark/>
          </w:tcPr>
          <w:p w14:paraId="622019EA"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Deliverables</w:t>
            </w:r>
          </w:p>
        </w:tc>
        <w:tc>
          <w:tcPr>
            <w:tcW w:w="0" w:type="auto"/>
            <w:hideMark/>
          </w:tcPr>
          <w:p w14:paraId="048F0EFC"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Payment (%)</w:t>
            </w:r>
          </w:p>
        </w:tc>
      </w:tr>
      <w:tr w:rsidR="005A0215" w:rsidRPr="005A0215" w14:paraId="39911E01" w14:textId="77777777" w:rsidTr="004C6D2D">
        <w:tc>
          <w:tcPr>
            <w:tcW w:w="0" w:type="auto"/>
            <w:hideMark/>
          </w:tcPr>
          <w:p w14:paraId="2075312B"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Commencement + 2 weeks</w:t>
            </w:r>
          </w:p>
        </w:tc>
        <w:tc>
          <w:tcPr>
            <w:tcW w:w="0" w:type="auto"/>
            <w:hideMark/>
          </w:tcPr>
          <w:p w14:paraId="4AEC0BDF" w14:textId="77777777" w:rsidR="005A0215" w:rsidRPr="005A0215" w:rsidRDefault="005A0215" w:rsidP="005A0215">
            <w:pPr>
              <w:spacing w:after="0" w:line="240" w:lineRule="auto"/>
              <w:jc w:val="both"/>
              <w:rPr>
                <w:rFonts w:ascii="Times New Roman" w:eastAsiaTheme="minorEastAsia" w:hAnsi="Times New Roman"/>
                <w:b/>
                <w:bCs/>
                <w:sz w:val="24"/>
                <w:szCs w:val="24"/>
              </w:rPr>
            </w:pPr>
            <w:r w:rsidRPr="005A0215">
              <w:rPr>
                <w:rFonts w:ascii="Times New Roman" w:eastAsiaTheme="minorEastAsia" w:hAnsi="Times New Roman"/>
                <w:b/>
                <w:bCs/>
                <w:sz w:val="24"/>
                <w:szCs w:val="24"/>
              </w:rPr>
              <w:t>Inception Report and Immediate Readiness Actions</w:t>
            </w:r>
          </w:p>
          <w:p w14:paraId="5C904E44" w14:textId="77777777" w:rsidR="005A0215" w:rsidRPr="005A0215" w:rsidRDefault="005A0215" w:rsidP="005A0215">
            <w:pPr>
              <w:pStyle w:val="ListParagraph"/>
              <w:numPr>
                <w:ilvl w:val="0"/>
                <w:numId w:val="20"/>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 xml:space="preserve">Inception report with methodology, work plan, </w:t>
            </w:r>
            <w:r w:rsidRPr="005A0215">
              <w:rPr>
                <w:rFonts w:ascii="Times New Roman" w:eastAsiaTheme="minorEastAsia" w:hAnsi="Times New Roman"/>
                <w:sz w:val="24"/>
                <w:szCs w:val="24"/>
              </w:rPr>
              <w:lastRenderedPageBreak/>
              <w:t>and stakeholder engagement plan.</w:t>
            </w:r>
          </w:p>
          <w:p w14:paraId="271761E5" w14:textId="77777777" w:rsidR="005A0215" w:rsidRPr="005A0215" w:rsidRDefault="005A0215" w:rsidP="005A0215">
            <w:pPr>
              <w:pStyle w:val="ListParagraph"/>
              <w:numPr>
                <w:ilvl w:val="0"/>
                <w:numId w:val="20"/>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Rapid legal and institutional readiness assessment.</w:t>
            </w:r>
          </w:p>
          <w:p w14:paraId="471343D7" w14:textId="77777777" w:rsidR="005A0215" w:rsidRPr="005A0215" w:rsidRDefault="005A0215" w:rsidP="005A0215">
            <w:pPr>
              <w:pStyle w:val="ListParagraph"/>
              <w:numPr>
                <w:ilvl w:val="0"/>
                <w:numId w:val="20"/>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Review of existing technical/financial inputs (incl. TACTIS) and identification of gaps.</w:t>
            </w:r>
          </w:p>
          <w:p w14:paraId="491E6B0B" w14:textId="77777777" w:rsidR="005A0215" w:rsidRPr="005A0215" w:rsidRDefault="005A0215" w:rsidP="005A0215">
            <w:pPr>
              <w:pStyle w:val="ListParagraph"/>
              <w:numPr>
                <w:ilvl w:val="0"/>
                <w:numId w:val="20"/>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Preliminary mapping of SPV incorporation steps and responsibilities.</w:t>
            </w:r>
          </w:p>
          <w:p w14:paraId="2EFD59F7" w14:textId="77777777" w:rsidR="005A0215" w:rsidRPr="005A0215" w:rsidRDefault="005A0215" w:rsidP="005A0215">
            <w:pPr>
              <w:pStyle w:val="ListParagraph"/>
              <w:numPr>
                <w:ilvl w:val="0"/>
                <w:numId w:val="20"/>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Initial risk register with mitigation measures.</w:t>
            </w:r>
          </w:p>
        </w:tc>
        <w:tc>
          <w:tcPr>
            <w:tcW w:w="0" w:type="auto"/>
            <w:hideMark/>
          </w:tcPr>
          <w:p w14:paraId="487131D2"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lastRenderedPageBreak/>
              <w:t>10%</w:t>
            </w:r>
          </w:p>
        </w:tc>
      </w:tr>
      <w:tr w:rsidR="005A0215" w:rsidRPr="005A0215" w14:paraId="62C30487" w14:textId="77777777" w:rsidTr="004C6D2D">
        <w:tc>
          <w:tcPr>
            <w:tcW w:w="0" w:type="auto"/>
            <w:hideMark/>
          </w:tcPr>
          <w:p w14:paraId="0F38E89A"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lastRenderedPageBreak/>
              <w:t>Commencement + 8 weeks</w:t>
            </w:r>
          </w:p>
        </w:tc>
        <w:tc>
          <w:tcPr>
            <w:tcW w:w="0" w:type="auto"/>
            <w:hideMark/>
          </w:tcPr>
          <w:p w14:paraId="1540266D" w14:textId="77777777" w:rsidR="005A0215" w:rsidRPr="005A0215" w:rsidRDefault="005A0215" w:rsidP="005A0215">
            <w:pPr>
              <w:spacing w:after="0" w:line="240" w:lineRule="auto"/>
              <w:jc w:val="both"/>
              <w:rPr>
                <w:rFonts w:ascii="Times New Roman" w:eastAsiaTheme="minorEastAsia" w:hAnsi="Times New Roman"/>
                <w:b/>
                <w:bCs/>
                <w:sz w:val="24"/>
                <w:szCs w:val="24"/>
              </w:rPr>
            </w:pPr>
            <w:r w:rsidRPr="005A0215">
              <w:rPr>
                <w:rFonts w:ascii="Times New Roman" w:eastAsiaTheme="minorEastAsia" w:hAnsi="Times New Roman"/>
                <w:b/>
                <w:bCs/>
                <w:sz w:val="24"/>
                <w:szCs w:val="24"/>
              </w:rPr>
              <w:t>Financial Feasibility, Commercial Structure Options, and Draft Capital Structure</w:t>
            </w:r>
          </w:p>
          <w:p w14:paraId="590EEC34" w14:textId="77777777" w:rsidR="005A0215" w:rsidRPr="005A0215" w:rsidRDefault="005A0215" w:rsidP="005A0215">
            <w:pPr>
              <w:pStyle w:val="ListParagraph"/>
              <w:numPr>
                <w:ilvl w:val="0"/>
                <w:numId w:val="21"/>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Draft multi-scenario financial model (CAPEX/OPEX/lifecycle/sensitivities)</w:t>
            </w:r>
          </w:p>
          <w:p w14:paraId="2C88611B" w14:textId="77777777" w:rsidR="005A0215" w:rsidRPr="005A0215" w:rsidRDefault="005A0215" w:rsidP="005A0215">
            <w:pPr>
              <w:pStyle w:val="ListParagraph"/>
              <w:numPr>
                <w:ilvl w:val="0"/>
                <w:numId w:val="21"/>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Analysis and refinement of practical wholesale commercial structure options.</w:t>
            </w:r>
          </w:p>
          <w:p w14:paraId="070216F6" w14:textId="77777777" w:rsidR="005A0215" w:rsidRPr="005A0215" w:rsidRDefault="005A0215" w:rsidP="005A0215">
            <w:pPr>
              <w:pStyle w:val="ListParagraph"/>
              <w:numPr>
                <w:ilvl w:val="0"/>
                <w:numId w:val="21"/>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Draft capital structure and preliminary valuation of shareholder contributions (cash + potential in-kind).</w:t>
            </w:r>
          </w:p>
          <w:p w14:paraId="7637A026" w14:textId="77777777" w:rsidR="005A0215" w:rsidRPr="005A0215" w:rsidRDefault="005A0215" w:rsidP="005A0215">
            <w:pPr>
              <w:pStyle w:val="ListParagraph"/>
              <w:numPr>
                <w:ilvl w:val="0"/>
                <w:numId w:val="21"/>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Advisory note on potential role of external/DFI investors.</w:t>
            </w:r>
          </w:p>
          <w:p w14:paraId="4F07C844" w14:textId="77777777" w:rsidR="005A0215" w:rsidRPr="005A0215" w:rsidRDefault="005A0215" w:rsidP="005A0215">
            <w:pPr>
              <w:pStyle w:val="ListParagraph"/>
              <w:numPr>
                <w:ilvl w:val="0"/>
                <w:numId w:val="21"/>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Interim structuring memo summarizing recommended direction.</w:t>
            </w:r>
          </w:p>
        </w:tc>
        <w:tc>
          <w:tcPr>
            <w:tcW w:w="0" w:type="auto"/>
            <w:hideMark/>
          </w:tcPr>
          <w:p w14:paraId="789AB948"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20%</w:t>
            </w:r>
          </w:p>
        </w:tc>
      </w:tr>
      <w:tr w:rsidR="005A0215" w:rsidRPr="005A0215" w14:paraId="49522195" w14:textId="77777777" w:rsidTr="004C6D2D">
        <w:tc>
          <w:tcPr>
            <w:tcW w:w="0" w:type="auto"/>
            <w:hideMark/>
          </w:tcPr>
          <w:p w14:paraId="6E91952B"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Commencement + 12 weeks</w:t>
            </w:r>
          </w:p>
        </w:tc>
        <w:tc>
          <w:tcPr>
            <w:tcW w:w="0" w:type="auto"/>
            <w:hideMark/>
          </w:tcPr>
          <w:p w14:paraId="62148290" w14:textId="77777777" w:rsidR="005A0215" w:rsidRPr="005A0215" w:rsidRDefault="005A0215" w:rsidP="005A0215">
            <w:pPr>
              <w:spacing w:after="0" w:line="240" w:lineRule="auto"/>
              <w:jc w:val="both"/>
              <w:rPr>
                <w:rFonts w:ascii="Times New Roman" w:eastAsiaTheme="minorEastAsia" w:hAnsi="Times New Roman"/>
                <w:b/>
                <w:bCs/>
                <w:sz w:val="24"/>
                <w:szCs w:val="24"/>
              </w:rPr>
            </w:pPr>
            <w:r w:rsidRPr="005A0215">
              <w:rPr>
                <w:rFonts w:ascii="Times New Roman" w:eastAsiaTheme="minorEastAsia" w:hAnsi="Times New Roman"/>
                <w:b/>
                <w:bCs/>
                <w:sz w:val="24"/>
                <w:szCs w:val="24"/>
              </w:rPr>
              <w:t>Preferred Commercial Structure &amp; Validated Financial Model</w:t>
            </w:r>
          </w:p>
          <w:p w14:paraId="47E1B68A" w14:textId="77777777" w:rsidR="005A0215" w:rsidRPr="005A0215" w:rsidRDefault="005A0215" w:rsidP="005A0215">
            <w:pPr>
              <w:pStyle w:val="ListParagraph"/>
              <w:numPr>
                <w:ilvl w:val="0"/>
                <w:numId w:val="26"/>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Finalization of preferred commercial structure after AC3 consultations.</w:t>
            </w:r>
          </w:p>
          <w:p w14:paraId="39249903" w14:textId="77777777" w:rsidR="005A0215" w:rsidRPr="005A0215" w:rsidRDefault="005A0215" w:rsidP="005A0215">
            <w:pPr>
              <w:pStyle w:val="ListParagraph"/>
              <w:numPr>
                <w:ilvl w:val="0"/>
                <w:numId w:val="26"/>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Updated financial model reflecting agreed commercial assumptions.</w:t>
            </w:r>
          </w:p>
          <w:p w14:paraId="4C0EC980" w14:textId="77777777" w:rsidR="005A0215" w:rsidRPr="005A0215" w:rsidRDefault="005A0215" w:rsidP="005A0215">
            <w:pPr>
              <w:pStyle w:val="ListParagraph"/>
              <w:numPr>
                <w:ilvl w:val="0"/>
                <w:numId w:val="26"/>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Final recommended capital structure and draft shareholding distribution options.</w:t>
            </w:r>
          </w:p>
          <w:p w14:paraId="6E55234A" w14:textId="77777777" w:rsidR="005A0215" w:rsidRPr="005A0215" w:rsidRDefault="005A0215" w:rsidP="005A0215">
            <w:pPr>
              <w:pStyle w:val="ListParagraph"/>
              <w:numPr>
                <w:ilvl w:val="0"/>
                <w:numId w:val="26"/>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Updated valuation note (cash and potential in-kind contributions).</w:t>
            </w:r>
          </w:p>
          <w:p w14:paraId="5337CE62" w14:textId="77777777" w:rsidR="005A0215" w:rsidRPr="005A0215" w:rsidRDefault="005A0215" w:rsidP="005A0215">
            <w:pPr>
              <w:pStyle w:val="ListParagraph"/>
              <w:numPr>
                <w:ilvl w:val="0"/>
                <w:numId w:val="26"/>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Draft implications for Shareholders’ Agreement and Bylaws.</w:t>
            </w:r>
          </w:p>
        </w:tc>
        <w:tc>
          <w:tcPr>
            <w:tcW w:w="0" w:type="auto"/>
            <w:hideMark/>
          </w:tcPr>
          <w:p w14:paraId="1EF57339"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20%</w:t>
            </w:r>
          </w:p>
        </w:tc>
      </w:tr>
      <w:tr w:rsidR="005A0215" w:rsidRPr="005A0215" w14:paraId="770FA3F3" w14:textId="77777777" w:rsidTr="004C6D2D">
        <w:tc>
          <w:tcPr>
            <w:tcW w:w="0" w:type="auto"/>
            <w:hideMark/>
          </w:tcPr>
          <w:p w14:paraId="6EDF1CBB"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Commencement + 16 weeks</w:t>
            </w:r>
          </w:p>
        </w:tc>
        <w:tc>
          <w:tcPr>
            <w:tcW w:w="0" w:type="auto"/>
            <w:hideMark/>
          </w:tcPr>
          <w:p w14:paraId="005E1657" w14:textId="77777777" w:rsidR="005A0215" w:rsidRPr="005A0215" w:rsidRDefault="005A0215" w:rsidP="005A0215">
            <w:pPr>
              <w:spacing w:after="0" w:line="240" w:lineRule="auto"/>
              <w:jc w:val="both"/>
              <w:rPr>
                <w:rFonts w:ascii="Times New Roman" w:eastAsiaTheme="minorEastAsia" w:hAnsi="Times New Roman"/>
                <w:b/>
                <w:bCs/>
                <w:sz w:val="24"/>
                <w:szCs w:val="24"/>
              </w:rPr>
            </w:pPr>
            <w:r w:rsidRPr="005A0215">
              <w:rPr>
                <w:rFonts w:ascii="Times New Roman" w:eastAsiaTheme="minorEastAsia" w:hAnsi="Times New Roman"/>
                <w:b/>
                <w:bCs/>
                <w:sz w:val="24"/>
                <w:szCs w:val="24"/>
              </w:rPr>
              <w:t xml:space="preserve">Full Draft Corporate Legal Documentation Package </w:t>
            </w:r>
          </w:p>
          <w:p w14:paraId="348BCA5E" w14:textId="77777777" w:rsidR="005A0215" w:rsidRPr="005A0215" w:rsidRDefault="005A0215" w:rsidP="005A0215">
            <w:pPr>
              <w:pStyle w:val="ListParagraph"/>
              <w:numPr>
                <w:ilvl w:val="0"/>
                <w:numId w:val="25"/>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Draft Articles of Incorporation.</w:t>
            </w:r>
          </w:p>
          <w:p w14:paraId="71DF4BEB" w14:textId="77777777" w:rsidR="005A0215" w:rsidRPr="005A0215" w:rsidRDefault="005A0215" w:rsidP="005A0215">
            <w:pPr>
              <w:pStyle w:val="ListParagraph"/>
              <w:numPr>
                <w:ilvl w:val="0"/>
                <w:numId w:val="25"/>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Draft Bylaws.</w:t>
            </w:r>
          </w:p>
          <w:p w14:paraId="1E706172" w14:textId="77777777" w:rsidR="005A0215" w:rsidRPr="005A0215" w:rsidRDefault="005A0215" w:rsidP="005A0215">
            <w:pPr>
              <w:pStyle w:val="ListParagraph"/>
              <w:numPr>
                <w:ilvl w:val="0"/>
                <w:numId w:val="25"/>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Draft Shareholders’ Agreement.</w:t>
            </w:r>
          </w:p>
          <w:p w14:paraId="58571B9E" w14:textId="77777777" w:rsidR="005A0215" w:rsidRPr="005A0215" w:rsidRDefault="005A0215" w:rsidP="005A0215">
            <w:pPr>
              <w:pStyle w:val="ListParagraph"/>
              <w:numPr>
                <w:ilvl w:val="0"/>
                <w:numId w:val="25"/>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Draft Subscription Agreements.</w:t>
            </w:r>
          </w:p>
          <w:p w14:paraId="20CB67FF" w14:textId="77777777" w:rsidR="005A0215" w:rsidRPr="005A0215" w:rsidRDefault="005A0215" w:rsidP="005A0215">
            <w:pPr>
              <w:pStyle w:val="ListParagraph"/>
              <w:numPr>
                <w:ilvl w:val="0"/>
                <w:numId w:val="25"/>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Draft Corporate Governance Framework and Board Charter.</w:t>
            </w:r>
          </w:p>
          <w:p w14:paraId="3661752F" w14:textId="77777777" w:rsidR="005A0215" w:rsidRPr="005A0215" w:rsidRDefault="005A0215" w:rsidP="005A0215">
            <w:pPr>
              <w:pStyle w:val="ListParagraph"/>
              <w:numPr>
                <w:ilvl w:val="0"/>
                <w:numId w:val="25"/>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Draft procedures for capital calls, obligations, and dispute resolution.</w:t>
            </w:r>
          </w:p>
          <w:p w14:paraId="56BAE6F1" w14:textId="77777777" w:rsidR="005A0215" w:rsidRDefault="005A0215" w:rsidP="005A0215">
            <w:pPr>
              <w:pStyle w:val="ListParagraph"/>
              <w:numPr>
                <w:ilvl w:val="0"/>
                <w:numId w:val="25"/>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Alignment note confirming consistency between commercial, financial, and legal structures.</w:t>
            </w:r>
          </w:p>
          <w:p w14:paraId="53D953DB" w14:textId="2359D6AC" w:rsidR="006E1D83" w:rsidRPr="005A0215" w:rsidRDefault="006E1D83" w:rsidP="005A0215">
            <w:pPr>
              <w:pStyle w:val="ListParagraph"/>
              <w:numPr>
                <w:ilvl w:val="0"/>
                <w:numId w:val="25"/>
              </w:numPr>
              <w:spacing w:after="0" w:line="240" w:lineRule="auto"/>
              <w:jc w:val="both"/>
              <w:rPr>
                <w:rFonts w:ascii="Times New Roman" w:eastAsiaTheme="minorEastAsia" w:hAnsi="Times New Roman"/>
                <w:sz w:val="24"/>
                <w:szCs w:val="24"/>
              </w:rPr>
            </w:pPr>
            <w:r w:rsidRPr="006E1D83">
              <w:rPr>
                <w:rFonts w:ascii="Times New Roman" w:eastAsiaTheme="minorEastAsia" w:hAnsi="Times New Roman"/>
                <w:sz w:val="24"/>
                <w:szCs w:val="24"/>
              </w:rPr>
              <w:t xml:space="preserve">Draft Project Implementation Manual (PIM) for </w:t>
            </w:r>
            <w:r w:rsidRPr="006E1D83">
              <w:rPr>
                <w:rFonts w:ascii="Times New Roman" w:eastAsiaTheme="minorEastAsia" w:hAnsi="Times New Roman"/>
                <w:sz w:val="24"/>
                <w:szCs w:val="24"/>
              </w:rPr>
              <w:lastRenderedPageBreak/>
              <w:t>the SPV</w:t>
            </w:r>
          </w:p>
        </w:tc>
        <w:tc>
          <w:tcPr>
            <w:tcW w:w="0" w:type="auto"/>
            <w:hideMark/>
          </w:tcPr>
          <w:p w14:paraId="5372D2D9"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lastRenderedPageBreak/>
              <w:t>20%</w:t>
            </w:r>
          </w:p>
        </w:tc>
      </w:tr>
      <w:tr w:rsidR="005A0215" w:rsidRPr="005A0215" w14:paraId="6307AE01" w14:textId="77777777" w:rsidTr="004C6D2D">
        <w:tc>
          <w:tcPr>
            <w:tcW w:w="0" w:type="auto"/>
            <w:hideMark/>
          </w:tcPr>
          <w:p w14:paraId="2E11884E"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lastRenderedPageBreak/>
              <w:t>Commencement + 22 weeks</w:t>
            </w:r>
          </w:p>
        </w:tc>
        <w:tc>
          <w:tcPr>
            <w:tcW w:w="0" w:type="auto"/>
            <w:hideMark/>
          </w:tcPr>
          <w:p w14:paraId="71A6E8E2" w14:textId="77777777" w:rsidR="005A0215" w:rsidRPr="005A0215" w:rsidRDefault="005A0215" w:rsidP="005A0215">
            <w:pPr>
              <w:spacing w:after="0" w:line="240" w:lineRule="auto"/>
              <w:jc w:val="both"/>
              <w:rPr>
                <w:rFonts w:ascii="Times New Roman" w:eastAsiaTheme="minorEastAsia" w:hAnsi="Times New Roman"/>
                <w:b/>
                <w:bCs/>
                <w:sz w:val="24"/>
                <w:szCs w:val="24"/>
              </w:rPr>
            </w:pPr>
            <w:r w:rsidRPr="005A0215">
              <w:rPr>
                <w:rFonts w:ascii="Times New Roman" w:eastAsiaTheme="minorEastAsia" w:hAnsi="Times New Roman"/>
                <w:b/>
                <w:bCs/>
                <w:sz w:val="24"/>
                <w:szCs w:val="24"/>
              </w:rPr>
              <w:t>Negotiation Support and Revised Legal &amp; Commercial Documents</w:t>
            </w:r>
          </w:p>
          <w:p w14:paraId="2B410A0F" w14:textId="77777777" w:rsidR="005A0215" w:rsidRPr="005A0215" w:rsidRDefault="005A0215" w:rsidP="005A0215">
            <w:pPr>
              <w:pStyle w:val="ListParagraph"/>
              <w:numPr>
                <w:ilvl w:val="0"/>
                <w:numId w:val="24"/>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Support during negotiations with shareholders, DFIs, and potential investors.</w:t>
            </w:r>
          </w:p>
          <w:p w14:paraId="792BA0E9" w14:textId="77777777" w:rsidR="005A0215" w:rsidRPr="005A0215" w:rsidRDefault="005A0215" w:rsidP="005A0215">
            <w:pPr>
              <w:pStyle w:val="ListParagraph"/>
              <w:numPr>
                <w:ilvl w:val="0"/>
                <w:numId w:val="24"/>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Revised Shareholders’ Agreement, Bylaws, Subscription Agreements, and governance instruments reflecting negotiated terms.</w:t>
            </w:r>
          </w:p>
          <w:p w14:paraId="19C90514" w14:textId="77777777" w:rsidR="005A0215" w:rsidRPr="005A0215" w:rsidRDefault="005A0215" w:rsidP="005A0215">
            <w:pPr>
              <w:pStyle w:val="ListParagraph"/>
              <w:numPr>
                <w:ilvl w:val="0"/>
                <w:numId w:val="24"/>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Updated financial model outputs and capital structure narrative.\</w:t>
            </w:r>
          </w:p>
          <w:p w14:paraId="4FD4A29C" w14:textId="77777777" w:rsidR="005A0215" w:rsidRPr="005A0215" w:rsidRDefault="005A0215" w:rsidP="005A0215">
            <w:pPr>
              <w:pStyle w:val="ListParagraph"/>
              <w:numPr>
                <w:ilvl w:val="0"/>
                <w:numId w:val="24"/>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Advisory note on finalization steps, conditions precedent, and actions required for financial close.</w:t>
            </w:r>
          </w:p>
        </w:tc>
        <w:tc>
          <w:tcPr>
            <w:tcW w:w="0" w:type="auto"/>
            <w:hideMark/>
          </w:tcPr>
          <w:p w14:paraId="2B6F2C6A"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15%</w:t>
            </w:r>
          </w:p>
        </w:tc>
      </w:tr>
      <w:tr w:rsidR="005A0215" w:rsidRPr="005A0215" w14:paraId="754DEC72" w14:textId="77777777" w:rsidTr="004C6D2D">
        <w:tc>
          <w:tcPr>
            <w:tcW w:w="0" w:type="auto"/>
            <w:hideMark/>
          </w:tcPr>
          <w:p w14:paraId="38AB51DA"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Commencement + 30 weeks</w:t>
            </w:r>
          </w:p>
        </w:tc>
        <w:tc>
          <w:tcPr>
            <w:tcW w:w="0" w:type="auto"/>
            <w:hideMark/>
          </w:tcPr>
          <w:p w14:paraId="1F6FEAD8" w14:textId="77777777" w:rsidR="005A0215" w:rsidRPr="005A0215" w:rsidRDefault="005A0215" w:rsidP="005A0215">
            <w:pPr>
              <w:spacing w:after="0" w:line="240" w:lineRule="auto"/>
              <w:jc w:val="both"/>
              <w:rPr>
                <w:rFonts w:ascii="Times New Roman" w:eastAsiaTheme="minorEastAsia" w:hAnsi="Times New Roman"/>
                <w:b/>
                <w:bCs/>
                <w:sz w:val="24"/>
                <w:szCs w:val="24"/>
              </w:rPr>
            </w:pPr>
            <w:r w:rsidRPr="005A0215">
              <w:rPr>
                <w:rFonts w:ascii="Times New Roman" w:eastAsiaTheme="minorEastAsia" w:hAnsi="Times New Roman"/>
                <w:b/>
                <w:bCs/>
                <w:sz w:val="24"/>
                <w:szCs w:val="24"/>
              </w:rPr>
              <w:t>Financial Close Package and Final Documentation</w:t>
            </w:r>
          </w:p>
          <w:p w14:paraId="2391215C" w14:textId="77777777" w:rsidR="005A0215" w:rsidRPr="005A0215" w:rsidRDefault="005A0215" w:rsidP="005A0215">
            <w:pPr>
              <w:pStyle w:val="ListParagraph"/>
              <w:numPr>
                <w:ilvl w:val="0"/>
                <w:numId w:val="23"/>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Full Financial Close Package (financing plan, capitalization narrative, valuations, risk allocation, model outputs).</w:t>
            </w:r>
          </w:p>
          <w:p w14:paraId="11B98571" w14:textId="77777777" w:rsidR="005A0215" w:rsidRPr="005A0215" w:rsidRDefault="005A0215" w:rsidP="005A0215">
            <w:pPr>
              <w:pStyle w:val="ListParagraph"/>
              <w:numPr>
                <w:ilvl w:val="0"/>
                <w:numId w:val="23"/>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Checklist and roadmap for conditions precedent.</w:t>
            </w:r>
          </w:p>
          <w:p w14:paraId="1540EA50" w14:textId="77777777" w:rsidR="005A0215" w:rsidRPr="005A0215" w:rsidRDefault="005A0215" w:rsidP="005A0215">
            <w:pPr>
              <w:pStyle w:val="ListParagraph"/>
              <w:numPr>
                <w:ilvl w:val="0"/>
                <w:numId w:val="23"/>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Finalized corporate documents ready for execution and filing.</w:t>
            </w:r>
          </w:p>
          <w:p w14:paraId="7669C39E" w14:textId="77777777" w:rsidR="005A0215" w:rsidRPr="005A0215" w:rsidRDefault="005A0215" w:rsidP="005A0215">
            <w:pPr>
              <w:pStyle w:val="ListParagraph"/>
              <w:numPr>
                <w:ilvl w:val="0"/>
                <w:numId w:val="23"/>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Operationalization advisory note.</w:t>
            </w:r>
          </w:p>
        </w:tc>
        <w:tc>
          <w:tcPr>
            <w:tcW w:w="0" w:type="auto"/>
            <w:hideMark/>
          </w:tcPr>
          <w:p w14:paraId="52828C51"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10%</w:t>
            </w:r>
          </w:p>
        </w:tc>
      </w:tr>
      <w:tr w:rsidR="005A0215" w:rsidRPr="005A0215" w14:paraId="58BAA795" w14:textId="77777777" w:rsidTr="004C6D2D">
        <w:tc>
          <w:tcPr>
            <w:tcW w:w="0" w:type="auto"/>
            <w:hideMark/>
          </w:tcPr>
          <w:p w14:paraId="4974B644"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Commencement + 36 weeks</w:t>
            </w:r>
          </w:p>
        </w:tc>
        <w:tc>
          <w:tcPr>
            <w:tcW w:w="0" w:type="auto"/>
            <w:hideMark/>
          </w:tcPr>
          <w:p w14:paraId="1D813B6D" w14:textId="77777777" w:rsidR="005A0215" w:rsidRPr="005A0215" w:rsidRDefault="005A0215" w:rsidP="005A0215">
            <w:pPr>
              <w:spacing w:after="0" w:line="240" w:lineRule="auto"/>
              <w:jc w:val="both"/>
              <w:rPr>
                <w:rFonts w:ascii="Times New Roman" w:eastAsiaTheme="minorEastAsia" w:hAnsi="Times New Roman"/>
                <w:b/>
                <w:bCs/>
                <w:sz w:val="24"/>
                <w:szCs w:val="24"/>
              </w:rPr>
            </w:pPr>
            <w:r w:rsidRPr="005A0215">
              <w:rPr>
                <w:rFonts w:ascii="Times New Roman" w:eastAsiaTheme="minorEastAsia" w:hAnsi="Times New Roman"/>
                <w:b/>
                <w:bCs/>
                <w:sz w:val="24"/>
                <w:szCs w:val="24"/>
              </w:rPr>
              <w:t>Final Report and Handover</w:t>
            </w:r>
          </w:p>
          <w:p w14:paraId="01D18D95" w14:textId="77777777" w:rsidR="005A0215" w:rsidRPr="005A0215" w:rsidRDefault="005A0215" w:rsidP="005A0215">
            <w:pPr>
              <w:pStyle w:val="ListParagraph"/>
              <w:numPr>
                <w:ilvl w:val="0"/>
                <w:numId w:val="22"/>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Consolidated Final Report (full advisory process + documentation).</w:t>
            </w:r>
          </w:p>
          <w:p w14:paraId="5F313D75" w14:textId="77777777" w:rsidR="005A0215" w:rsidRPr="005A0215" w:rsidRDefault="005A0215" w:rsidP="005A0215">
            <w:pPr>
              <w:pStyle w:val="ListParagraph"/>
              <w:numPr>
                <w:ilvl w:val="0"/>
                <w:numId w:val="22"/>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Final editable financial model with user guide.</w:t>
            </w:r>
          </w:p>
          <w:p w14:paraId="7F0F9169" w14:textId="77777777" w:rsidR="005A0215" w:rsidRPr="005A0215" w:rsidRDefault="005A0215" w:rsidP="005A0215">
            <w:pPr>
              <w:pStyle w:val="ListParagraph"/>
              <w:numPr>
                <w:ilvl w:val="0"/>
                <w:numId w:val="22"/>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Final valuation assessments.</w:t>
            </w:r>
          </w:p>
          <w:p w14:paraId="134A6D2C" w14:textId="77777777" w:rsidR="005A0215" w:rsidRPr="005A0215" w:rsidRDefault="005A0215" w:rsidP="005A0215">
            <w:pPr>
              <w:pStyle w:val="ListParagraph"/>
              <w:numPr>
                <w:ilvl w:val="0"/>
                <w:numId w:val="22"/>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Final commercial structure note and capitalization approach.</w:t>
            </w:r>
          </w:p>
          <w:p w14:paraId="294AE68F" w14:textId="77777777" w:rsidR="005A0215" w:rsidRPr="005A0215" w:rsidRDefault="005A0215" w:rsidP="005A0215">
            <w:pPr>
              <w:pStyle w:val="ListParagraph"/>
              <w:numPr>
                <w:ilvl w:val="0"/>
                <w:numId w:val="22"/>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Final Financial Close Package and roadmap.</w:t>
            </w:r>
          </w:p>
          <w:p w14:paraId="397BD0EB" w14:textId="77777777" w:rsidR="005A0215" w:rsidRPr="005A0215" w:rsidRDefault="005A0215" w:rsidP="005A0215">
            <w:pPr>
              <w:pStyle w:val="ListParagraph"/>
              <w:numPr>
                <w:ilvl w:val="0"/>
                <w:numId w:val="22"/>
              </w:num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Closing debrief / capacity support session.</w:t>
            </w:r>
          </w:p>
        </w:tc>
        <w:tc>
          <w:tcPr>
            <w:tcW w:w="0" w:type="auto"/>
            <w:hideMark/>
          </w:tcPr>
          <w:p w14:paraId="5E0AA076"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5%</w:t>
            </w:r>
          </w:p>
        </w:tc>
      </w:tr>
    </w:tbl>
    <w:p w14:paraId="0BBBDB5F" w14:textId="77777777" w:rsidR="005A0215" w:rsidRPr="005A0215" w:rsidRDefault="005A0215" w:rsidP="005A0215">
      <w:pPr>
        <w:spacing w:after="0" w:line="240" w:lineRule="auto"/>
        <w:jc w:val="both"/>
        <w:rPr>
          <w:rFonts w:ascii="Times New Roman" w:eastAsiaTheme="minorEastAsia" w:hAnsi="Times New Roman"/>
          <w:sz w:val="24"/>
          <w:szCs w:val="24"/>
        </w:rPr>
      </w:pPr>
    </w:p>
    <w:p w14:paraId="2EBEC720" w14:textId="77777777" w:rsidR="005A0215" w:rsidRPr="005A0215" w:rsidRDefault="005A0215" w:rsidP="005A0215">
      <w:pPr>
        <w:spacing w:after="0"/>
        <w:jc w:val="both"/>
        <w:rPr>
          <w:rFonts w:ascii="Times New Roman" w:eastAsia="Times New Roman" w:hAnsi="Times New Roman"/>
          <w:color w:val="000000" w:themeColor="text1"/>
        </w:rPr>
      </w:pPr>
    </w:p>
    <w:p w14:paraId="1B8992E2" w14:textId="77777777" w:rsidR="00DA111E" w:rsidRPr="005A0215" w:rsidRDefault="00DA111E" w:rsidP="005A0215">
      <w:pPr>
        <w:pStyle w:val="NormalWeb"/>
        <w:spacing w:before="0" w:beforeAutospacing="0" w:after="0" w:afterAutospacing="0" w:line="276" w:lineRule="auto"/>
        <w:jc w:val="both"/>
        <w:rPr>
          <w:color w:val="000000"/>
        </w:rPr>
      </w:pPr>
    </w:p>
    <w:p w14:paraId="72DC65CF" w14:textId="77777777" w:rsidR="00DA111E" w:rsidRPr="005A0215" w:rsidRDefault="00DA111E" w:rsidP="005A0215">
      <w:pPr>
        <w:pStyle w:val="NormalWeb"/>
        <w:spacing w:before="0" w:beforeAutospacing="0" w:after="0" w:afterAutospacing="0" w:line="276" w:lineRule="auto"/>
        <w:jc w:val="both"/>
        <w:rPr>
          <w:b/>
          <w:bCs/>
          <w:color w:val="000000" w:themeColor="text1"/>
        </w:rPr>
      </w:pPr>
      <w:r w:rsidRPr="005A0215">
        <w:rPr>
          <w:b/>
          <w:bCs/>
          <w:color w:val="000000" w:themeColor="text1"/>
        </w:rPr>
        <w:t>5. QUALIFICATIONS AND EXPERIENCE</w:t>
      </w:r>
    </w:p>
    <w:p w14:paraId="0C3AB7E7" w14:textId="77777777" w:rsidR="00DA111E" w:rsidRPr="005A0215" w:rsidRDefault="00DA111E" w:rsidP="005A0215">
      <w:pPr>
        <w:pStyle w:val="NormalWeb"/>
        <w:spacing w:before="0" w:beforeAutospacing="0" w:after="0" w:afterAutospacing="0" w:line="276" w:lineRule="auto"/>
        <w:jc w:val="both"/>
        <w:rPr>
          <w:color w:val="000000"/>
        </w:rPr>
      </w:pPr>
    </w:p>
    <w:p w14:paraId="3018BC2E" w14:textId="77777777" w:rsidR="005A0215" w:rsidRPr="005A0215" w:rsidRDefault="005A0215" w:rsidP="005A0215">
      <w:p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 xml:space="preserve">The selected firm must demonstrate the capacity to deliver both legal advisory and financial/transaction advisory services under a single contract, with proven experience in structuring and operationalizing infrastructure SPVs. Specifically, </w:t>
      </w:r>
      <w:r w:rsidRPr="005A0215">
        <w:rPr>
          <w:rFonts w:ascii="Times New Roman" w:eastAsiaTheme="minorEastAsia" w:hAnsi="Times New Roman"/>
          <w:color w:val="000000"/>
          <w:sz w:val="24"/>
          <w:szCs w:val="24"/>
        </w:rPr>
        <w:t>t</w:t>
      </w:r>
      <w:r w:rsidRPr="005A0215">
        <w:rPr>
          <w:rFonts w:ascii="Times New Roman" w:hAnsi="Times New Roman"/>
          <w:color w:val="000000"/>
          <w:sz w:val="24"/>
          <w:szCs w:val="24"/>
        </w:rPr>
        <w:t>he firm must meet the following criteria:</w:t>
      </w:r>
    </w:p>
    <w:p w14:paraId="3FF80FA5" w14:textId="77777777" w:rsidR="005A0215" w:rsidRPr="005A0215" w:rsidRDefault="005A0215" w:rsidP="005A0215">
      <w:pPr>
        <w:pStyle w:val="ListParagraph"/>
        <w:numPr>
          <w:ilvl w:val="0"/>
          <w:numId w:val="18"/>
        </w:numPr>
        <w:spacing w:after="0" w:line="240" w:lineRule="auto"/>
        <w:jc w:val="both"/>
        <w:rPr>
          <w:rFonts w:ascii="Times New Roman" w:eastAsiaTheme="minorEastAsia" w:hAnsi="Times New Roman"/>
          <w:color w:val="000000"/>
          <w:sz w:val="24"/>
          <w:szCs w:val="24"/>
        </w:rPr>
      </w:pPr>
      <w:r w:rsidRPr="005A0215">
        <w:rPr>
          <w:rFonts w:ascii="Times New Roman" w:hAnsi="Times New Roman"/>
          <w:color w:val="000000"/>
          <w:sz w:val="24"/>
          <w:szCs w:val="24"/>
        </w:rPr>
        <w:t>Registered law firm, financial advisory firm, or consortium (acting as a single contracting entity) with demonstrated ability to provide integrated legal, financial, and commercial advisory services.</w:t>
      </w:r>
    </w:p>
    <w:p w14:paraId="2A7D0C1A" w14:textId="77777777" w:rsidR="005A0215" w:rsidRPr="005A0215" w:rsidRDefault="005A0215" w:rsidP="005A0215">
      <w:pPr>
        <w:pStyle w:val="ListParagraph"/>
        <w:numPr>
          <w:ilvl w:val="0"/>
          <w:numId w:val="18"/>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Minimum of 10 years’ experience in infrastructure PPPs, corporate structuring, and project finance in emerging or developing markets.</w:t>
      </w:r>
    </w:p>
    <w:p w14:paraId="1A460F26" w14:textId="77777777" w:rsidR="005A0215" w:rsidRPr="005A0215" w:rsidRDefault="005A0215" w:rsidP="005A0215">
      <w:pPr>
        <w:pStyle w:val="ListParagraph"/>
        <w:numPr>
          <w:ilvl w:val="0"/>
          <w:numId w:val="18"/>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lastRenderedPageBreak/>
        <w:t>Demonstrated expertise in telecommunications, ICT, digital infrastructure, or submarine cable/landing-station projects, including experience with shared infrastructure or wholesale access arrangements.</w:t>
      </w:r>
    </w:p>
    <w:p w14:paraId="0CBFE625" w14:textId="77777777" w:rsidR="005A0215" w:rsidRPr="005A0215" w:rsidRDefault="005A0215" w:rsidP="005A0215">
      <w:pPr>
        <w:pStyle w:val="ListParagraph"/>
        <w:numPr>
          <w:ilvl w:val="0"/>
          <w:numId w:val="18"/>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Experience advising Governments, DFIs, private operators, or regulators on the structuring of PPPs, SPVs, or infrastructure investment vehicles.</w:t>
      </w:r>
    </w:p>
    <w:p w14:paraId="38ECDBE7" w14:textId="77777777" w:rsidR="005A0215" w:rsidRPr="005A0215" w:rsidRDefault="005A0215" w:rsidP="005A0215">
      <w:pPr>
        <w:pStyle w:val="ListParagraph"/>
        <w:numPr>
          <w:ilvl w:val="0"/>
          <w:numId w:val="18"/>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Proven track record in drafting and negotiating corporate legal documentation (e.g., Articles of Incorporation, Bylaws, Shareholders’ Agreements, Subscription Agreements, governance frameworks).</w:t>
      </w:r>
    </w:p>
    <w:p w14:paraId="71BD0B2D" w14:textId="77777777" w:rsidR="005A0215" w:rsidRPr="005A0215" w:rsidRDefault="005A0215" w:rsidP="005A0215">
      <w:pPr>
        <w:pStyle w:val="ListParagraph"/>
        <w:numPr>
          <w:ilvl w:val="0"/>
          <w:numId w:val="18"/>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Proven capability in financial structuring, including capital structure design, valuation of cash and in-kind contributions, and preparation of transactions for DFI participation.</w:t>
      </w:r>
    </w:p>
    <w:p w14:paraId="7C62AA84" w14:textId="77777777" w:rsidR="005A0215" w:rsidRPr="005A0215" w:rsidRDefault="005A0215" w:rsidP="005A0215">
      <w:pPr>
        <w:pStyle w:val="ListParagraph"/>
        <w:numPr>
          <w:ilvl w:val="0"/>
          <w:numId w:val="18"/>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Demonstrated ability to build, maintain, and stress-test financial models for large-scale infrastructure SPVs, including multi-scenario and long-term sustainability analyses.</w:t>
      </w:r>
    </w:p>
    <w:p w14:paraId="70347CD1" w14:textId="77777777" w:rsidR="005A0215" w:rsidRPr="005A0215" w:rsidRDefault="005A0215" w:rsidP="005A0215">
      <w:pPr>
        <w:pStyle w:val="ListParagraph"/>
        <w:numPr>
          <w:ilvl w:val="0"/>
          <w:numId w:val="18"/>
        </w:numPr>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Strong understanding of Liberian commercial, company, and tax law, or ability to mobilize qualified Liberian legal expertise as part of the team.</w:t>
      </w:r>
    </w:p>
    <w:p w14:paraId="28A5494D" w14:textId="77777777" w:rsidR="005A0215" w:rsidRPr="005A0215" w:rsidRDefault="005A0215" w:rsidP="005A0215">
      <w:pPr>
        <w:pStyle w:val="ListParagraph"/>
        <w:spacing w:after="0" w:line="240" w:lineRule="auto"/>
        <w:jc w:val="both"/>
        <w:rPr>
          <w:rFonts w:ascii="Times New Roman" w:eastAsiaTheme="minorEastAsia" w:hAnsi="Times New Roman"/>
          <w:color w:val="000000"/>
          <w:sz w:val="24"/>
          <w:szCs w:val="24"/>
        </w:rPr>
      </w:pPr>
      <w:r w:rsidRPr="005A0215">
        <w:rPr>
          <w:rFonts w:ascii="Times New Roman" w:hAnsi="Times New Roman"/>
          <w:color w:val="000000"/>
          <w:sz w:val="24"/>
          <w:szCs w:val="24"/>
        </w:rPr>
        <w:t>Experience working in West Africa or similar environments is an advantage.</w:t>
      </w:r>
    </w:p>
    <w:p w14:paraId="67F9CDAF" w14:textId="77777777" w:rsidR="005A0215" w:rsidRPr="005A0215" w:rsidRDefault="005A0215" w:rsidP="005A0215">
      <w:pPr>
        <w:pStyle w:val="ListParagraph"/>
        <w:spacing w:after="0" w:line="240" w:lineRule="auto"/>
        <w:jc w:val="both"/>
        <w:rPr>
          <w:rFonts w:ascii="Times New Roman" w:hAnsi="Times New Roman"/>
          <w:color w:val="000000"/>
          <w:sz w:val="24"/>
          <w:szCs w:val="24"/>
        </w:rPr>
      </w:pPr>
      <w:r w:rsidRPr="005A0215">
        <w:rPr>
          <w:rFonts w:ascii="Times New Roman" w:hAnsi="Times New Roman"/>
          <w:color w:val="000000"/>
          <w:sz w:val="24"/>
          <w:szCs w:val="24"/>
        </w:rPr>
        <w:t>Ability to deploy a multidisciplinary team fluent in English, available throughout the assignment.</w:t>
      </w:r>
    </w:p>
    <w:p w14:paraId="664610CD" w14:textId="77777777" w:rsidR="005A0215" w:rsidRPr="005A0215" w:rsidRDefault="005A0215" w:rsidP="005A0215">
      <w:pPr>
        <w:spacing w:after="0" w:line="240" w:lineRule="auto"/>
        <w:jc w:val="both"/>
        <w:rPr>
          <w:rFonts w:ascii="Times New Roman" w:hAnsi="Times New Roman"/>
        </w:rPr>
      </w:pPr>
    </w:p>
    <w:p w14:paraId="43A5382A" w14:textId="5EB1F1D7" w:rsidR="005A0215" w:rsidRPr="005A0215" w:rsidRDefault="005A0215" w:rsidP="005A0215">
      <w:pPr>
        <w:spacing w:after="0" w:line="240" w:lineRule="auto"/>
        <w:jc w:val="both"/>
        <w:rPr>
          <w:rFonts w:ascii="Times New Roman" w:eastAsiaTheme="minorEastAsia" w:hAnsi="Times New Roman"/>
          <w:b/>
          <w:bCs/>
          <w:sz w:val="24"/>
          <w:szCs w:val="24"/>
        </w:rPr>
      </w:pPr>
      <w:r w:rsidRPr="005A0215">
        <w:rPr>
          <w:rFonts w:ascii="Times New Roman" w:eastAsiaTheme="minorEastAsia" w:hAnsi="Times New Roman"/>
          <w:b/>
          <w:bCs/>
          <w:sz w:val="24"/>
          <w:szCs w:val="24"/>
        </w:rPr>
        <w:t>5.1 KEY EXPERTS</w:t>
      </w:r>
    </w:p>
    <w:p w14:paraId="34686AE4" w14:textId="77777777" w:rsidR="005A0215" w:rsidRPr="005A0215" w:rsidRDefault="005A0215" w:rsidP="005A0215">
      <w:pPr>
        <w:spacing w:after="0" w:line="240" w:lineRule="auto"/>
        <w:jc w:val="both"/>
        <w:rPr>
          <w:rFonts w:ascii="Times New Roman" w:eastAsiaTheme="minorEastAsia" w:hAnsi="Times New Roman"/>
          <w:sz w:val="24"/>
          <w:szCs w:val="24"/>
        </w:rPr>
      </w:pPr>
    </w:p>
    <w:p w14:paraId="24D9792F" w14:textId="77777777" w:rsidR="005A0215" w:rsidRPr="005A0215" w:rsidRDefault="005A0215" w:rsidP="005A0215">
      <w:pPr>
        <w:spacing w:after="0" w:line="240" w:lineRule="auto"/>
        <w:jc w:val="both"/>
        <w:rPr>
          <w:rFonts w:ascii="Times New Roman" w:hAnsi="Times New Roman"/>
        </w:rPr>
      </w:pPr>
      <w:r w:rsidRPr="005A0215">
        <w:rPr>
          <w:rFonts w:ascii="Times New Roman" w:hAnsi="Times New Roman"/>
          <w:sz w:val="24"/>
          <w:szCs w:val="24"/>
        </w:rPr>
        <w:t>The consulting firm shall provide the following key experts for the assignment:</w:t>
      </w:r>
    </w:p>
    <w:p w14:paraId="460AB712" w14:textId="77777777" w:rsidR="005A0215" w:rsidRPr="005A0215" w:rsidRDefault="005A0215" w:rsidP="005A0215">
      <w:pPr>
        <w:pStyle w:val="ListParagraph"/>
        <w:numPr>
          <w:ilvl w:val="0"/>
          <w:numId w:val="19"/>
        </w:numPr>
        <w:spacing w:after="0" w:line="240" w:lineRule="auto"/>
        <w:jc w:val="both"/>
        <w:rPr>
          <w:rFonts w:ascii="Times New Roman" w:hAnsi="Times New Roman"/>
          <w:sz w:val="24"/>
          <w:szCs w:val="24"/>
        </w:rPr>
      </w:pPr>
      <w:r w:rsidRPr="005A0215">
        <w:rPr>
          <w:rFonts w:ascii="Times New Roman" w:hAnsi="Times New Roman"/>
          <w:b/>
          <w:sz w:val="24"/>
          <w:szCs w:val="24"/>
        </w:rPr>
        <w:t>Legal &amp; Transaction Expert as Team Leader</w:t>
      </w:r>
      <w:r w:rsidRPr="005A0215">
        <w:rPr>
          <w:rFonts w:ascii="Times New Roman" w:hAnsi="Times New Roman"/>
          <w:sz w:val="24"/>
          <w:szCs w:val="24"/>
        </w:rPr>
        <w:t>: At least 15 years of experience in structuring PPPs, SPVs, and closing project-financed infrastructure transactions, with a strong track record in telecommunications, fiber-optic, or other digital infrastructure projects. Demonstrated ability to lead multidisciplinary teams, negotiate with private operators and DFIs, and oversee both legal and commercial workstreams. Experience in Africa or similar contexts is an advantage.</w:t>
      </w:r>
    </w:p>
    <w:p w14:paraId="241E13D1" w14:textId="77777777" w:rsidR="005A0215" w:rsidRPr="005A0215" w:rsidRDefault="005A0215" w:rsidP="005A0215">
      <w:pPr>
        <w:pStyle w:val="ListParagraph"/>
        <w:numPr>
          <w:ilvl w:val="0"/>
          <w:numId w:val="19"/>
        </w:numPr>
        <w:spacing w:after="0" w:line="240" w:lineRule="auto"/>
        <w:jc w:val="both"/>
        <w:rPr>
          <w:rFonts w:ascii="Times New Roman" w:hAnsi="Times New Roman"/>
          <w:sz w:val="24"/>
          <w:szCs w:val="24"/>
        </w:rPr>
      </w:pPr>
      <w:r w:rsidRPr="005A0215">
        <w:rPr>
          <w:rFonts w:ascii="Times New Roman" w:eastAsiaTheme="minorEastAsia" w:hAnsi="Times New Roman"/>
          <w:b/>
          <w:bCs/>
          <w:sz w:val="24"/>
          <w:szCs w:val="24"/>
        </w:rPr>
        <w:t xml:space="preserve">Senior </w:t>
      </w:r>
      <w:r w:rsidRPr="005A0215">
        <w:rPr>
          <w:rFonts w:ascii="Times New Roman" w:hAnsi="Times New Roman"/>
          <w:b/>
          <w:bCs/>
          <w:sz w:val="24"/>
          <w:szCs w:val="24"/>
        </w:rPr>
        <w:t>Legal Specialist</w:t>
      </w:r>
      <w:r w:rsidRPr="005A0215">
        <w:rPr>
          <w:rFonts w:ascii="Times New Roman" w:eastAsiaTheme="minorEastAsia" w:hAnsi="Times New Roman"/>
          <w:b/>
          <w:bCs/>
          <w:sz w:val="24"/>
          <w:szCs w:val="24"/>
        </w:rPr>
        <w:t xml:space="preserve"> (Corporate &amp; Regulatory)</w:t>
      </w:r>
      <w:r w:rsidRPr="005A0215">
        <w:rPr>
          <w:rFonts w:ascii="Times New Roman" w:hAnsi="Times New Roman"/>
          <w:sz w:val="24"/>
          <w:szCs w:val="24"/>
        </w:rPr>
        <w:t xml:space="preserve">: </w:t>
      </w:r>
      <w:r w:rsidRPr="005A0215">
        <w:rPr>
          <w:rFonts w:ascii="Times New Roman" w:eastAsiaTheme="minorEastAsia" w:hAnsi="Times New Roman"/>
          <w:sz w:val="24"/>
          <w:szCs w:val="24"/>
        </w:rPr>
        <w:t>At least</w:t>
      </w:r>
      <w:r w:rsidRPr="005A0215">
        <w:rPr>
          <w:rFonts w:ascii="Times New Roman" w:hAnsi="Times New Roman"/>
          <w:sz w:val="24"/>
          <w:szCs w:val="24"/>
        </w:rPr>
        <w:t xml:space="preserve"> 10 years of experience in corporate and commercial law, including drafting Articles of Incorporation, Bylaws, Shareholders’ Agreements, Subscription Agreements, and corporate governance frameworks. Experience with telecommunications regulation or digital infrastructure licensing is preferred. Expertise in Liberian law may be provided through qualified national legal counsel within the team structure.</w:t>
      </w:r>
    </w:p>
    <w:p w14:paraId="30EB1071" w14:textId="77777777" w:rsidR="005A0215" w:rsidRPr="005A0215" w:rsidRDefault="005A0215" w:rsidP="005A0215">
      <w:pPr>
        <w:pStyle w:val="ListParagraph"/>
        <w:numPr>
          <w:ilvl w:val="0"/>
          <w:numId w:val="19"/>
        </w:numPr>
        <w:spacing w:after="0" w:line="240" w:lineRule="auto"/>
        <w:jc w:val="both"/>
        <w:rPr>
          <w:rFonts w:ascii="Times New Roman" w:hAnsi="Times New Roman"/>
          <w:sz w:val="24"/>
          <w:szCs w:val="24"/>
        </w:rPr>
      </w:pPr>
      <w:r w:rsidRPr="005A0215">
        <w:rPr>
          <w:rFonts w:ascii="Times New Roman" w:eastAsiaTheme="minorEastAsia" w:hAnsi="Times New Roman"/>
          <w:b/>
          <w:sz w:val="24"/>
          <w:szCs w:val="24"/>
        </w:rPr>
        <w:t>Project Finance</w:t>
      </w:r>
      <w:r w:rsidRPr="005A0215">
        <w:rPr>
          <w:rFonts w:ascii="Times New Roman" w:hAnsi="Times New Roman"/>
          <w:b/>
          <w:sz w:val="24"/>
          <w:szCs w:val="24"/>
        </w:rPr>
        <w:t xml:space="preserve"> Specialist</w:t>
      </w:r>
      <w:r w:rsidRPr="005A0215">
        <w:rPr>
          <w:rFonts w:ascii="Times New Roman" w:hAnsi="Times New Roman"/>
          <w:sz w:val="24"/>
          <w:szCs w:val="24"/>
        </w:rPr>
        <w:t>: At least 10 years of experience in infrastructure project finance, capital structure design, valuation of cash and in-kind contributions, and preparation of transactions for DFI participation. Demonstrated experience advising on financing term sheets, investor negotiations, and financial close processes. Experience in telecommunications or digital infrastructure is preferred.</w:t>
      </w:r>
    </w:p>
    <w:p w14:paraId="44E29EE2" w14:textId="77777777" w:rsidR="005A0215" w:rsidRPr="005A0215" w:rsidRDefault="005A0215" w:rsidP="005A0215">
      <w:pPr>
        <w:pStyle w:val="ListParagraph"/>
        <w:numPr>
          <w:ilvl w:val="0"/>
          <w:numId w:val="19"/>
        </w:numPr>
        <w:spacing w:after="0" w:line="240" w:lineRule="auto"/>
        <w:jc w:val="both"/>
        <w:rPr>
          <w:rFonts w:ascii="Times New Roman" w:hAnsi="Times New Roman"/>
          <w:sz w:val="24"/>
          <w:szCs w:val="24"/>
        </w:rPr>
      </w:pPr>
      <w:r w:rsidRPr="005A0215">
        <w:rPr>
          <w:rFonts w:ascii="Times New Roman" w:hAnsi="Times New Roman"/>
          <w:b/>
          <w:sz w:val="24"/>
          <w:szCs w:val="24"/>
        </w:rPr>
        <w:t>Financial Model</w:t>
      </w:r>
      <w:r w:rsidRPr="005A0215">
        <w:rPr>
          <w:rFonts w:ascii="Times New Roman" w:eastAsiaTheme="minorEastAsia" w:hAnsi="Times New Roman"/>
          <w:b/>
          <w:sz w:val="24"/>
          <w:szCs w:val="24"/>
        </w:rPr>
        <w:t>ing Specialist</w:t>
      </w:r>
      <w:r w:rsidRPr="005A0215">
        <w:rPr>
          <w:rFonts w:ascii="Times New Roman" w:hAnsi="Times New Roman"/>
          <w:sz w:val="24"/>
          <w:szCs w:val="24"/>
        </w:rPr>
        <w:t>: At least 5 years of experience in business and financial modeling for infrastructure SPVs or PPP projects. Proven ability to build multi-scenario models incorporating CAPEX, OPEX, demand projections, cost-recovery frameworks, capital-call structures, and long-term sustainability analysis. Experience with digital infrastructure or telecommunications is an advantage.</w:t>
      </w:r>
    </w:p>
    <w:p w14:paraId="44F62A27" w14:textId="77777777" w:rsidR="005A0215" w:rsidRPr="005A0215" w:rsidRDefault="005A0215" w:rsidP="005A0215">
      <w:pPr>
        <w:numPr>
          <w:ilvl w:val="0"/>
          <w:numId w:val="19"/>
        </w:numPr>
        <w:spacing w:after="0" w:line="240" w:lineRule="auto"/>
        <w:jc w:val="both"/>
        <w:rPr>
          <w:rFonts w:ascii="Times New Roman" w:eastAsiaTheme="minorEastAsia" w:hAnsi="Times New Roman"/>
          <w:sz w:val="24"/>
          <w:szCs w:val="24"/>
        </w:rPr>
      </w:pPr>
      <w:r w:rsidRPr="005A0215">
        <w:rPr>
          <w:rFonts w:ascii="Times New Roman" w:hAnsi="Times New Roman"/>
          <w:b/>
          <w:bCs/>
        </w:rPr>
        <w:lastRenderedPageBreak/>
        <w:t>Corporate &amp; Governance Expert</w:t>
      </w:r>
      <w:r w:rsidRPr="005A0215">
        <w:rPr>
          <w:rFonts w:ascii="Times New Roman" w:hAnsi="Times New Roman"/>
        </w:rPr>
        <w:t xml:space="preserve"> – </w:t>
      </w:r>
      <w:r w:rsidRPr="005A0215">
        <w:rPr>
          <w:rFonts w:ascii="Times New Roman" w:eastAsiaTheme="minorEastAsia" w:hAnsi="Times New Roman"/>
        </w:rPr>
        <w:t>At least 7 years in designing and operationalizing governance structures for SPVs, joint ventures, or infrastructure consortia. Experience drafting governance frameworks, board charters, reporting protocols, and decision-making rules, and advising on operational readiness and shareholder interfaces.</w:t>
      </w:r>
    </w:p>
    <w:p w14:paraId="32BC0325" w14:textId="77777777" w:rsidR="005A0215" w:rsidRPr="005A0215" w:rsidRDefault="005A0215" w:rsidP="005A0215">
      <w:pPr>
        <w:pStyle w:val="ListParagraph"/>
        <w:spacing w:after="0" w:line="240" w:lineRule="auto"/>
        <w:ind w:left="360"/>
        <w:jc w:val="both"/>
        <w:rPr>
          <w:rFonts w:ascii="Times New Roman" w:hAnsi="Times New Roman"/>
          <w:sz w:val="24"/>
          <w:szCs w:val="24"/>
        </w:rPr>
      </w:pPr>
    </w:p>
    <w:p w14:paraId="71D16846" w14:textId="77777777" w:rsidR="005A0215" w:rsidRPr="005A0215" w:rsidRDefault="005A0215" w:rsidP="005A0215">
      <w:pPr>
        <w:spacing w:after="0" w:line="240" w:lineRule="auto"/>
        <w:jc w:val="both"/>
        <w:rPr>
          <w:rFonts w:ascii="Times New Roman" w:eastAsiaTheme="minorEastAsia" w:hAnsi="Times New Roman"/>
          <w:sz w:val="24"/>
          <w:szCs w:val="24"/>
        </w:rPr>
      </w:pPr>
      <w:r w:rsidRPr="005A0215">
        <w:rPr>
          <w:rFonts w:ascii="Times New Roman" w:eastAsiaTheme="minorEastAsia" w:hAnsi="Times New Roman"/>
          <w:sz w:val="24"/>
          <w:szCs w:val="24"/>
        </w:rPr>
        <w:t>The firm may propose additional non-key experts (e.g., Tax Advisor, Telecom Market Specialist, etc.) as needed to deliver the assignment. These will not be scored individually but will be considered in assessing the overall adequacy of the proposed team.</w:t>
      </w:r>
    </w:p>
    <w:p w14:paraId="4B3ECF58" w14:textId="77777777" w:rsidR="005A0215" w:rsidRPr="005A0215" w:rsidRDefault="005A0215" w:rsidP="005A0215">
      <w:pPr>
        <w:spacing w:after="0" w:line="240" w:lineRule="auto"/>
        <w:jc w:val="both"/>
        <w:rPr>
          <w:rFonts w:ascii="Times New Roman" w:hAnsi="Times New Roman"/>
        </w:rPr>
      </w:pPr>
    </w:p>
    <w:p w14:paraId="4E57A94A" w14:textId="77777777" w:rsidR="005A0215" w:rsidRPr="005A0215" w:rsidRDefault="005A0215" w:rsidP="005A0215">
      <w:pPr>
        <w:spacing w:after="0" w:line="240" w:lineRule="auto"/>
        <w:jc w:val="both"/>
        <w:rPr>
          <w:rFonts w:ascii="Times New Roman" w:hAnsi="Times New Roman"/>
        </w:rPr>
      </w:pPr>
    </w:p>
    <w:p w14:paraId="50923D35" w14:textId="77777777" w:rsidR="005A0215" w:rsidRPr="005A0215" w:rsidRDefault="005A0215" w:rsidP="005A0215">
      <w:pPr>
        <w:spacing w:after="0" w:line="240" w:lineRule="auto"/>
        <w:jc w:val="both"/>
        <w:rPr>
          <w:rFonts w:ascii="Times New Roman" w:hAnsi="Times New Roman"/>
        </w:rPr>
      </w:pPr>
    </w:p>
    <w:p w14:paraId="26895175" w14:textId="4BA449AB" w:rsidR="00DA111E" w:rsidRPr="005A0215" w:rsidRDefault="00DA111E" w:rsidP="005A0215">
      <w:pPr>
        <w:spacing w:after="0"/>
        <w:jc w:val="both"/>
        <w:rPr>
          <w:rFonts w:ascii="Times New Roman" w:hAnsi="Times New Roman"/>
          <w:sz w:val="24"/>
          <w:szCs w:val="24"/>
        </w:rPr>
      </w:pPr>
    </w:p>
    <w:p w14:paraId="7D06AE85" w14:textId="77777777" w:rsidR="00DA111E" w:rsidRPr="005A0215" w:rsidRDefault="00DA111E" w:rsidP="005A0215">
      <w:pPr>
        <w:pStyle w:val="NormalWeb"/>
        <w:spacing w:before="0" w:beforeAutospacing="0" w:after="0" w:afterAutospacing="0" w:line="276" w:lineRule="auto"/>
        <w:jc w:val="both"/>
        <w:rPr>
          <w:color w:val="000000"/>
        </w:rPr>
      </w:pPr>
    </w:p>
    <w:p w14:paraId="04622D4A" w14:textId="548523B5" w:rsidR="00DA111E" w:rsidRPr="005A0215" w:rsidRDefault="005A0215" w:rsidP="005A0215">
      <w:pPr>
        <w:spacing w:after="0"/>
        <w:jc w:val="both"/>
        <w:rPr>
          <w:rFonts w:ascii="Times New Roman" w:eastAsia="Times New Roman" w:hAnsi="Times New Roman"/>
          <w:b/>
          <w:bCs/>
          <w:sz w:val="24"/>
          <w:szCs w:val="24"/>
        </w:rPr>
      </w:pPr>
      <w:r>
        <w:rPr>
          <w:rFonts w:ascii="Times New Roman" w:eastAsia="Times New Roman" w:hAnsi="Times New Roman"/>
          <w:b/>
          <w:bCs/>
          <w:sz w:val="24"/>
          <w:szCs w:val="24"/>
        </w:rPr>
        <w:t>6</w:t>
      </w:r>
      <w:r w:rsidR="00DA111E" w:rsidRPr="005A0215">
        <w:rPr>
          <w:rFonts w:ascii="Times New Roman" w:eastAsia="Times New Roman" w:hAnsi="Times New Roman"/>
          <w:b/>
          <w:bCs/>
          <w:sz w:val="24"/>
          <w:szCs w:val="24"/>
        </w:rPr>
        <w:t xml:space="preserve">. CONFIDENTIALITY </w:t>
      </w:r>
    </w:p>
    <w:p w14:paraId="457024DB" w14:textId="77777777" w:rsidR="00DA111E" w:rsidRPr="005A0215" w:rsidRDefault="00DA111E" w:rsidP="005A0215">
      <w:pPr>
        <w:spacing w:after="0"/>
        <w:jc w:val="both"/>
        <w:rPr>
          <w:rFonts w:ascii="Times New Roman" w:eastAsia="Times New Roman" w:hAnsi="Times New Roman"/>
          <w:sz w:val="24"/>
          <w:szCs w:val="24"/>
        </w:rPr>
      </w:pPr>
    </w:p>
    <w:p w14:paraId="7A42CF81" w14:textId="77777777" w:rsidR="00DA111E" w:rsidRPr="005A0215" w:rsidRDefault="00DA111E" w:rsidP="005A0215">
      <w:pPr>
        <w:widowControl w:val="0"/>
        <w:autoSpaceDE w:val="0"/>
        <w:autoSpaceDN w:val="0"/>
        <w:adjustRightInd w:val="0"/>
        <w:spacing w:after="0"/>
        <w:contextualSpacing/>
        <w:jc w:val="both"/>
        <w:rPr>
          <w:rFonts w:ascii="Times New Roman" w:hAnsi="Times New Roman"/>
          <w:sz w:val="24"/>
          <w:szCs w:val="24"/>
        </w:rPr>
      </w:pPr>
      <w:r w:rsidRPr="005A0215">
        <w:rPr>
          <w:rFonts w:ascii="Times New Roman" w:hAnsi="Times New Roman"/>
          <w:sz w:val="24"/>
          <w:szCs w:val="24"/>
        </w:rPr>
        <w:t xml:space="preserve">By accepting to take part in the invitation, the Consultant agrees to keep in confidence all information shared by the Liberian government authorities and the World Bank, whether written or oral, concerning the invitation and/or in relation to the government organizations’ business involved in this assignment which is not of public domain. The Consultant also agrees to use it only for the purposes of this activity and for no other reasons and not to disclose any of the said information to any third party.  </w:t>
      </w:r>
    </w:p>
    <w:p w14:paraId="701F81EB" w14:textId="77777777" w:rsidR="00DA111E" w:rsidRPr="005A0215" w:rsidRDefault="00DA111E" w:rsidP="005A0215">
      <w:pPr>
        <w:spacing w:after="0"/>
        <w:jc w:val="both"/>
        <w:rPr>
          <w:rFonts w:ascii="Times New Roman" w:eastAsia="Times New Roman" w:hAnsi="Times New Roman"/>
          <w:sz w:val="24"/>
          <w:szCs w:val="24"/>
        </w:rPr>
      </w:pPr>
    </w:p>
    <w:p w14:paraId="6EC00554" w14:textId="77777777" w:rsidR="00CE51FA" w:rsidRPr="005A0215" w:rsidRDefault="00CE51FA" w:rsidP="005A0215">
      <w:pPr>
        <w:jc w:val="both"/>
        <w:rPr>
          <w:rFonts w:ascii="Times New Roman" w:hAnsi="Times New Roman"/>
        </w:rPr>
      </w:pPr>
    </w:p>
    <w:sectPr w:rsidR="00CE51FA" w:rsidRPr="005A0215" w:rsidSect="00DA111E">
      <w:footerReference w:type="even" r:id="rId14"/>
      <w:footerReference w:type="defaul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CE3B1" w14:textId="77777777" w:rsidR="00F93F55" w:rsidRDefault="00F93F55">
      <w:pPr>
        <w:spacing w:after="0" w:line="240" w:lineRule="auto"/>
      </w:pPr>
      <w:r>
        <w:separator/>
      </w:r>
    </w:p>
  </w:endnote>
  <w:endnote w:type="continuationSeparator" w:id="0">
    <w:p w14:paraId="69C50B48" w14:textId="77777777" w:rsidR="00F93F55" w:rsidRDefault="00F9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F9F35" w14:textId="5098137C" w:rsidR="00DA111E" w:rsidRDefault="006E1D83">
    <w:pPr>
      <w:pStyle w:val="Footer"/>
      <w:framePr w:wrap="auto" w:vAnchor="text" w:hAnchor="margin" w:xAlign="right" w:y="1"/>
      <w:rPr>
        <w:rStyle w:val="PageNumber"/>
      </w:rPr>
    </w:pPr>
    <w:r>
      <w:rPr>
        <w:noProof/>
        <w14:ligatures w14:val="standardContextual"/>
      </w:rPr>
      <mc:AlternateContent>
        <mc:Choice Requires="wps">
          <w:drawing>
            <wp:anchor distT="0" distB="0" distL="0" distR="0" simplePos="0" relativeHeight="251659264" behindDoc="0" locked="0" layoutInCell="1" allowOverlap="1" wp14:anchorId="75306EFC" wp14:editId="77684CB3">
              <wp:simplePos x="635" y="635"/>
              <wp:positionH relativeFrom="page">
                <wp:align>right</wp:align>
              </wp:positionH>
              <wp:positionV relativeFrom="page">
                <wp:align>bottom</wp:align>
              </wp:positionV>
              <wp:extent cx="1172210" cy="368935"/>
              <wp:effectExtent l="0" t="0" r="0" b="0"/>
              <wp:wrapNone/>
              <wp:docPr id="960949270" name="Text Box 2"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223114D5" w14:textId="4FF90087" w:rsidR="006E1D83" w:rsidRPr="006E1D83" w:rsidRDefault="006E1D8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306EFC"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fill o:detectmouseclick="t"/>
              <v:textbox style="mso-fit-shape-to-text:t" inset="0,0,20pt,15pt">
                <w:txbxContent>
                  <w:p w14:paraId="223114D5" w14:textId="4FF90087" w:rsidR="006E1D83" w:rsidRPr="006E1D83" w:rsidRDefault="006E1D8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v:textbox>
              <w10:wrap anchorx="page" anchory="page"/>
            </v:shape>
          </w:pict>
        </mc:Fallback>
      </mc:AlternateContent>
    </w:r>
  </w:p>
  <w:sdt>
    <w:sdtPr>
      <w:rPr>
        <w:rStyle w:val="PageNumber"/>
      </w:rPr>
      <w:id w:val="83503412"/>
      <w:docPartObj>
        <w:docPartGallery w:val="AutoText"/>
      </w:docPartObj>
    </w:sdtPr>
    <w:sdtEndPr>
      <w:rPr>
        <w:rStyle w:val="PageNumber"/>
      </w:rPr>
    </w:sdtEndPr>
    <w:sdtContent>
      <w:p w14:paraId="0D13D0F9" w14:textId="77777777" w:rsidR="00DA111E" w:rsidRDefault="00DA111E">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B90B7" w14:textId="77777777" w:rsidR="00DA111E" w:rsidRDefault="00DA11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74FE4" w14:textId="541BDBFE" w:rsidR="00DA111E" w:rsidRDefault="006E1D83">
    <w:pPr>
      <w:pStyle w:val="Footer"/>
      <w:framePr w:wrap="auto" w:vAnchor="text" w:hAnchor="margin" w:xAlign="right" w:y="1"/>
      <w:rPr>
        <w:rStyle w:val="PageNumber"/>
      </w:rPr>
    </w:pPr>
    <w:r>
      <w:rPr>
        <w:noProof/>
        <w14:ligatures w14:val="standardContextual"/>
      </w:rPr>
      <mc:AlternateContent>
        <mc:Choice Requires="wps">
          <w:drawing>
            <wp:anchor distT="0" distB="0" distL="0" distR="0" simplePos="0" relativeHeight="251660288" behindDoc="0" locked="0" layoutInCell="1" allowOverlap="1" wp14:anchorId="4BD3900A" wp14:editId="20031950">
              <wp:simplePos x="6562725" y="9431655"/>
              <wp:positionH relativeFrom="page">
                <wp:align>right</wp:align>
              </wp:positionH>
              <wp:positionV relativeFrom="page">
                <wp:align>bottom</wp:align>
              </wp:positionV>
              <wp:extent cx="1172210" cy="368935"/>
              <wp:effectExtent l="0" t="0" r="0" b="0"/>
              <wp:wrapNone/>
              <wp:docPr id="2128924428" name="Text Box 3"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280C1F37" w14:textId="74164949" w:rsidR="006E1D83" w:rsidRPr="006E1D83" w:rsidRDefault="006E1D8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D3900A"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fill o:detectmouseclick="t"/>
              <v:textbox style="mso-fit-shape-to-text:t" inset="0,0,20pt,15pt">
                <w:txbxContent>
                  <w:p w14:paraId="280C1F37" w14:textId="74164949" w:rsidR="006E1D83" w:rsidRPr="006E1D83" w:rsidRDefault="006E1D8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v:textbox>
              <w10:wrap anchorx="page" anchory="page"/>
            </v:shape>
          </w:pict>
        </mc:Fallback>
      </mc:AlternateContent>
    </w:r>
    <w:sdt>
      <w:sdtPr>
        <w:rPr>
          <w:rStyle w:val="PageNumber"/>
        </w:rPr>
        <w:id w:val="1863086695"/>
        <w:docPartObj>
          <w:docPartGallery w:val="AutoText"/>
        </w:docPartObj>
      </w:sdtPr>
      <w:sdtEndPr>
        <w:rPr>
          <w:rStyle w:val="PageNumber"/>
        </w:rPr>
      </w:sdtEndPr>
      <w:sdtContent>
        <w:r w:rsidR="00DA111E">
          <w:rPr>
            <w:rStyle w:val="PageNumber"/>
          </w:rPr>
          <w:fldChar w:fldCharType="begin"/>
        </w:r>
        <w:r w:rsidR="00DA111E">
          <w:rPr>
            <w:rStyle w:val="PageNumber"/>
          </w:rPr>
          <w:instrText xml:space="preserve"> PAGE 1</w:instrText>
        </w:r>
        <w:r w:rsidR="00DA111E">
          <w:rPr>
            <w:rStyle w:val="PageNumber"/>
          </w:rPr>
          <w:fldChar w:fldCharType="separate"/>
        </w:r>
        <w:r w:rsidR="0007569C">
          <w:rPr>
            <w:rStyle w:val="PageNumber"/>
            <w:noProof/>
          </w:rPr>
          <w:t>1</w:t>
        </w:r>
        <w:r w:rsidR="00DA111E">
          <w:rPr>
            <w:rStyle w:val="PageNumber"/>
          </w:rPr>
          <w:fldChar w:fldCharType="end"/>
        </w:r>
      </w:sdtContent>
    </w:sdt>
  </w:p>
  <w:p w14:paraId="08E0B92B" w14:textId="77777777" w:rsidR="00DA111E" w:rsidRDefault="00DA111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994DB" w14:textId="07BF1A6B" w:rsidR="006E1D83" w:rsidRDefault="006E1D83">
    <w:pPr>
      <w:pStyle w:val="Footer"/>
    </w:pPr>
    <w:r>
      <w:rPr>
        <w:noProof/>
        <w14:ligatures w14:val="standardContextual"/>
      </w:rPr>
      <mc:AlternateContent>
        <mc:Choice Requires="wps">
          <w:drawing>
            <wp:anchor distT="0" distB="0" distL="0" distR="0" simplePos="0" relativeHeight="251658240" behindDoc="0" locked="0" layoutInCell="1" allowOverlap="1" wp14:anchorId="49653816" wp14:editId="64E7340B">
              <wp:simplePos x="635" y="635"/>
              <wp:positionH relativeFrom="page">
                <wp:align>right</wp:align>
              </wp:positionH>
              <wp:positionV relativeFrom="page">
                <wp:align>bottom</wp:align>
              </wp:positionV>
              <wp:extent cx="1172210" cy="368935"/>
              <wp:effectExtent l="0" t="0" r="0" b="0"/>
              <wp:wrapNone/>
              <wp:docPr id="1291046992" name="Text Box 1"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5D7865B2" w14:textId="6EE2527A" w:rsidR="006E1D83" w:rsidRPr="006E1D83" w:rsidRDefault="006E1D8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653816"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fill o:detectmouseclick="t"/>
              <v:textbox style="mso-fit-shape-to-text:t" inset="0,0,20pt,15pt">
                <w:txbxContent>
                  <w:p w14:paraId="5D7865B2" w14:textId="6EE2527A" w:rsidR="006E1D83" w:rsidRPr="006E1D83" w:rsidRDefault="006E1D8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9E861" w14:textId="77777777" w:rsidR="00F93F55" w:rsidRDefault="00F93F55">
      <w:pPr>
        <w:spacing w:after="0" w:line="240" w:lineRule="auto"/>
      </w:pPr>
      <w:r>
        <w:separator/>
      </w:r>
    </w:p>
  </w:footnote>
  <w:footnote w:type="continuationSeparator" w:id="0">
    <w:p w14:paraId="5C7BFC77" w14:textId="77777777" w:rsidR="00F93F55" w:rsidRDefault="00F93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0804"/>
    <w:multiLevelType w:val="hybridMultilevel"/>
    <w:tmpl w:val="687E4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56AA8"/>
    <w:multiLevelType w:val="hybridMultilevel"/>
    <w:tmpl w:val="F806A6DE"/>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F1D8F"/>
    <w:multiLevelType w:val="hybridMultilevel"/>
    <w:tmpl w:val="39F83FC2"/>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418C2"/>
    <w:multiLevelType w:val="multilevel"/>
    <w:tmpl w:val="AF921858"/>
    <w:lvl w:ilvl="0">
      <w:start w:val="1"/>
      <w:numFmt w:val="upperLetter"/>
      <w:lvlText w:val="%1."/>
      <w:lvlJc w:val="left"/>
      <w:pPr>
        <w:ind w:left="425" w:hanging="425"/>
      </w:pPr>
      <w:rPr>
        <w:b/>
      </w:r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4">
    <w:nsid w:val="25601EB9"/>
    <w:multiLevelType w:val="hybridMultilevel"/>
    <w:tmpl w:val="4E742DC2"/>
    <w:lvl w:ilvl="0" w:tplc="DA26A220">
      <w:start w:val="1"/>
      <w:numFmt w:val="upperLetter"/>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A409B2"/>
    <w:multiLevelType w:val="hybridMultilevel"/>
    <w:tmpl w:val="CE1A3424"/>
    <w:lvl w:ilvl="0" w:tplc="08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2C8521AC"/>
    <w:multiLevelType w:val="multilevel"/>
    <w:tmpl w:val="71F2B7FC"/>
    <w:lvl w:ilvl="0">
      <w:start w:val="1"/>
      <w:numFmt w:val="upperLetter"/>
      <w:lvlText w:val="%1."/>
      <w:lvlJc w:val="left"/>
      <w:pPr>
        <w:ind w:left="425" w:hanging="425"/>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DB110E1"/>
    <w:multiLevelType w:val="hybridMultilevel"/>
    <w:tmpl w:val="5296A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F4863"/>
    <w:multiLevelType w:val="hybridMultilevel"/>
    <w:tmpl w:val="69D237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DAB7EF5"/>
    <w:multiLevelType w:val="hybridMultilevel"/>
    <w:tmpl w:val="930E0168"/>
    <w:lvl w:ilvl="0" w:tplc="349C8BB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8A5A5F"/>
    <w:multiLevelType w:val="hybridMultilevel"/>
    <w:tmpl w:val="444692B6"/>
    <w:lvl w:ilvl="0" w:tplc="1DBC10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975401"/>
    <w:multiLevelType w:val="hybridMultilevel"/>
    <w:tmpl w:val="13589B62"/>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4F082BEF"/>
    <w:multiLevelType w:val="multilevel"/>
    <w:tmpl w:val="71F2B7FC"/>
    <w:lvl w:ilvl="0">
      <w:start w:val="1"/>
      <w:numFmt w:val="upperLetter"/>
      <w:lvlText w:val="%1."/>
      <w:lvlJc w:val="left"/>
      <w:pPr>
        <w:ind w:left="425" w:hanging="425"/>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57192CD1"/>
    <w:multiLevelType w:val="hybridMultilevel"/>
    <w:tmpl w:val="0C4E8E26"/>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C7FA3"/>
    <w:multiLevelType w:val="hybridMultilevel"/>
    <w:tmpl w:val="2820D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7D38FB"/>
    <w:multiLevelType w:val="hybridMultilevel"/>
    <w:tmpl w:val="69D237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3E590F"/>
    <w:multiLevelType w:val="hybridMultilevel"/>
    <w:tmpl w:val="9616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0373F9"/>
    <w:multiLevelType w:val="hybridMultilevel"/>
    <w:tmpl w:val="B816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057498"/>
    <w:multiLevelType w:val="hybridMultilevel"/>
    <w:tmpl w:val="FA58B0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nsid w:val="613A3FC1"/>
    <w:multiLevelType w:val="hybridMultilevel"/>
    <w:tmpl w:val="391E82EE"/>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E50CB"/>
    <w:multiLevelType w:val="hybridMultilevel"/>
    <w:tmpl w:val="97008786"/>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2D387E"/>
    <w:multiLevelType w:val="hybridMultilevel"/>
    <w:tmpl w:val="49CA5CCE"/>
    <w:lvl w:ilvl="0" w:tplc="DDA45ADA">
      <w:start w:val="1"/>
      <w:numFmt w:val="bullet"/>
      <w:lvlText w:val=""/>
      <w:lvlJc w:val="left"/>
      <w:pPr>
        <w:ind w:left="720" w:hanging="360"/>
      </w:pPr>
      <w:rPr>
        <w:rFonts w:ascii="Symbol" w:hAnsi="Symbol" w:hint="default"/>
      </w:rPr>
    </w:lvl>
    <w:lvl w:ilvl="1" w:tplc="B61CECB4">
      <w:start w:val="1"/>
      <w:numFmt w:val="bullet"/>
      <w:lvlText w:val="o"/>
      <w:lvlJc w:val="left"/>
      <w:pPr>
        <w:ind w:left="1440" w:hanging="360"/>
      </w:pPr>
      <w:rPr>
        <w:rFonts w:ascii="Courier New" w:hAnsi="Courier New" w:hint="default"/>
      </w:rPr>
    </w:lvl>
    <w:lvl w:ilvl="2" w:tplc="3A02CA4A">
      <w:start w:val="1"/>
      <w:numFmt w:val="bullet"/>
      <w:lvlText w:val=""/>
      <w:lvlJc w:val="left"/>
      <w:pPr>
        <w:ind w:left="2160" w:hanging="360"/>
      </w:pPr>
      <w:rPr>
        <w:rFonts w:ascii="Wingdings" w:hAnsi="Wingdings" w:hint="default"/>
      </w:rPr>
    </w:lvl>
    <w:lvl w:ilvl="3" w:tplc="2E248BFA">
      <w:start w:val="1"/>
      <w:numFmt w:val="bullet"/>
      <w:lvlText w:val=""/>
      <w:lvlJc w:val="left"/>
      <w:pPr>
        <w:ind w:left="2880" w:hanging="360"/>
      </w:pPr>
      <w:rPr>
        <w:rFonts w:ascii="Symbol" w:hAnsi="Symbol" w:hint="default"/>
      </w:rPr>
    </w:lvl>
    <w:lvl w:ilvl="4" w:tplc="5B2280BE">
      <w:start w:val="1"/>
      <w:numFmt w:val="bullet"/>
      <w:lvlText w:val="o"/>
      <w:lvlJc w:val="left"/>
      <w:pPr>
        <w:ind w:left="3600" w:hanging="360"/>
      </w:pPr>
      <w:rPr>
        <w:rFonts w:ascii="Courier New" w:hAnsi="Courier New" w:hint="default"/>
      </w:rPr>
    </w:lvl>
    <w:lvl w:ilvl="5" w:tplc="7C2ADE98">
      <w:start w:val="1"/>
      <w:numFmt w:val="bullet"/>
      <w:lvlText w:val=""/>
      <w:lvlJc w:val="left"/>
      <w:pPr>
        <w:ind w:left="4320" w:hanging="360"/>
      </w:pPr>
      <w:rPr>
        <w:rFonts w:ascii="Wingdings" w:hAnsi="Wingdings" w:hint="default"/>
      </w:rPr>
    </w:lvl>
    <w:lvl w:ilvl="6" w:tplc="E61A19A6">
      <w:start w:val="1"/>
      <w:numFmt w:val="bullet"/>
      <w:lvlText w:val=""/>
      <w:lvlJc w:val="left"/>
      <w:pPr>
        <w:ind w:left="5040" w:hanging="360"/>
      </w:pPr>
      <w:rPr>
        <w:rFonts w:ascii="Symbol" w:hAnsi="Symbol" w:hint="default"/>
      </w:rPr>
    </w:lvl>
    <w:lvl w:ilvl="7" w:tplc="3788E1CA">
      <w:start w:val="1"/>
      <w:numFmt w:val="bullet"/>
      <w:lvlText w:val="o"/>
      <w:lvlJc w:val="left"/>
      <w:pPr>
        <w:ind w:left="5760" w:hanging="360"/>
      </w:pPr>
      <w:rPr>
        <w:rFonts w:ascii="Courier New" w:hAnsi="Courier New" w:hint="default"/>
      </w:rPr>
    </w:lvl>
    <w:lvl w:ilvl="8" w:tplc="B20ADAB2">
      <w:start w:val="1"/>
      <w:numFmt w:val="bullet"/>
      <w:lvlText w:val=""/>
      <w:lvlJc w:val="left"/>
      <w:pPr>
        <w:ind w:left="6480" w:hanging="360"/>
      </w:pPr>
      <w:rPr>
        <w:rFonts w:ascii="Wingdings" w:hAnsi="Wingdings" w:hint="default"/>
      </w:rPr>
    </w:lvl>
  </w:abstractNum>
  <w:abstractNum w:abstractNumId="22">
    <w:nsid w:val="6B0904D8"/>
    <w:multiLevelType w:val="hybridMultilevel"/>
    <w:tmpl w:val="FAC022B0"/>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C1815"/>
    <w:multiLevelType w:val="hybridMultilevel"/>
    <w:tmpl w:val="4A9A4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D54DB3"/>
    <w:multiLevelType w:val="hybridMultilevel"/>
    <w:tmpl w:val="3E104268"/>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050A"/>
    <w:multiLevelType w:val="hybridMultilevel"/>
    <w:tmpl w:val="26E21060"/>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0"/>
  </w:num>
  <w:num w:numId="4">
    <w:abstractNumId w:val="18"/>
  </w:num>
  <w:num w:numId="5">
    <w:abstractNumId w:val="16"/>
  </w:num>
  <w:num w:numId="6">
    <w:abstractNumId w:val="14"/>
  </w:num>
  <w:num w:numId="7">
    <w:abstractNumId w:val="7"/>
  </w:num>
  <w:num w:numId="8">
    <w:abstractNumId w:val="15"/>
  </w:num>
  <w:num w:numId="9">
    <w:abstractNumId w:val="8"/>
  </w:num>
  <w:num w:numId="10">
    <w:abstractNumId w:val="0"/>
  </w:num>
  <w:num w:numId="11">
    <w:abstractNumId w:val="23"/>
  </w:num>
  <w:num w:numId="12">
    <w:abstractNumId w:val="12"/>
  </w:num>
  <w:num w:numId="13">
    <w:abstractNumId w:val="3"/>
  </w:num>
  <w:num w:numId="14">
    <w:abstractNumId w:val="6"/>
  </w:num>
  <w:num w:numId="15">
    <w:abstractNumId w:val="9"/>
  </w:num>
  <w:num w:numId="16">
    <w:abstractNumId w:val="11"/>
  </w:num>
  <w:num w:numId="17">
    <w:abstractNumId w:val="4"/>
  </w:num>
  <w:num w:numId="18">
    <w:abstractNumId w:val="19"/>
  </w:num>
  <w:num w:numId="19">
    <w:abstractNumId w:val="5"/>
  </w:num>
  <w:num w:numId="20">
    <w:abstractNumId w:val="20"/>
  </w:num>
  <w:num w:numId="21">
    <w:abstractNumId w:val="25"/>
  </w:num>
  <w:num w:numId="22">
    <w:abstractNumId w:val="13"/>
  </w:num>
  <w:num w:numId="23">
    <w:abstractNumId w:val="1"/>
  </w:num>
  <w:num w:numId="24">
    <w:abstractNumId w:val="2"/>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1E"/>
    <w:rsid w:val="000073E6"/>
    <w:rsid w:val="0007569C"/>
    <w:rsid w:val="000D1525"/>
    <w:rsid w:val="000D5E08"/>
    <w:rsid w:val="000D7C6E"/>
    <w:rsid w:val="001530ED"/>
    <w:rsid w:val="0018506E"/>
    <w:rsid w:val="001B2967"/>
    <w:rsid w:val="001B64A3"/>
    <w:rsid w:val="001D1095"/>
    <w:rsid w:val="00330DF6"/>
    <w:rsid w:val="00370E82"/>
    <w:rsid w:val="003C690C"/>
    <w:rsid w:val="00420F8A"/>
    <w:rsid w:val="00531C39"/>
    <w:rsid w:val="005703FB"/>
    <w:rsid w:val="005A0215"/>
    <w:rsid w:val="00646807"/>
    <w:rsid w:val="006E1D83"/>
    <w:rsid w:val="00726825"/>
    <w:rsid w:val="00790884"/>
    <w:rsid w:val="007A546A"/>
    <w:rsid w:val="008030C3"/>
    <w:rsid w:val="008168CF"/>
    <w:rsid w:val="00854481"/>
    <w:rsid w:val="008910A4"/>
    <w:rsid w:val="008B2929"/>
    <w:rsid w:val="008C64FD"/>
    <w:rsid w:val="0097569F"/>
    <w:rsid w:val="00A63BA8"/>
    <w:rsid w:val="00A71F1F"/>
    <w:rsid w:val="00A9048D"/>
    <w:rsid w:val="00B25DED"/>
    <w:rsid w:val="00B32637"/>
    <w:rsid w:val="00B37C8D"/>
    <w:rsid w:val="00B42C56"/>
    <w:rsid w:val="00BD137B"/>
    <w:rsid w:val="00CE51FA"/>
    <w:rsid w:val="00D127BD"/>
    <w:rsid w:val="00D94025"/>
    <w:rsid w:val="00DA111E"/>
    <w:rsid w:val="00DA5716"/>
    <w:rsid w:val="00DD0BC8"/>
    <w:rsid w:val="00DE06BF"/>
    <w:rsid w:val="00E23F48"/>
    <w:rsid w:val="00EA1E5E"/>
    <w:rsid w:val="00F278A9"/>
    <w:rsid w:val="00F77631"/>
    <w:rsid w:val="00F93F55"/>
    <w:rsid w:val="00FB7760"/>
    <w:rsid w:val="00FD05FF"/>
  </w:rsids>
  <m:mathPr>
    <m:mathFont m:val="Cambria Math"/>
    <m:brkBin m:val="before"/>
    <m:brkBinSub m:val="--"/>
    <m:smallFrac m:val="0"/>
    <m:dispDef/>
    <m:lMargin m:val="0"/>
    <m:rMargin m:val="0"/>
    <m:defJc m:val="centerGroup"/>
    <m:wrapIndent m:val="1440"/>
    <m:intLim m:val="subSup"/>
    <m:naryLim m:val="undOvr"/>
  </m:mathPr>
  <w:themeFontLang w:val="en-A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1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DA1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11E"/>
    <w:rPr>
      <w:rFonts w:eastAsiaTheme="majorEastAsia" w:cstheme="majorBidi"/>
      <w:color w:val="272727" w:themeColor="text1" w:themeTint="D8"/>
    </w:rPr>
  </w:style>
  <w:style w:type="paragraph" w:styleId="Title">
    <w:name w:val="Title"/>
    <w:basedOn w:val="Normal"/>
    <w:next w:val="Normal"/>
    <w:link w:val="TitleChar"/>
    <w:uiPriority w:val="10"/>
    <w:qFormat/>
    <w:rsid w:val="00DA1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11E"/>
    <w:pPr>
      <w:spacing w:before="160"/>
      <w:jc w:val="center"/>
    </w:pPr>
    <w:rPr>
      <w:i/>
      <w:iCs/>
      <w:color w:val="404040" w:themeColor="text1" w:themeTint="BF"/>
    </w:rPr>
  </w:style>
  <w:style w:type="character" w:customStyle="1" w:styleId="QuoteChar">
    <w:name w:val="Quote Char"/>
    <w:basedOn w:val="DefaultParagraphFont"/>
    <w:link w:val="Quote"/>
    <w:uiPriority w:val="29"/>
    <w:rsid w:val="00DA111E"/>
    <w:rPr>
      <w:i/>
      <w:iCs/>
      <w:color w:val="404040" w:themeColor="text1" w:themeTint="BF"/>
    </w:rPr>
  </w:style>
  <w:style w:type="paragraph" w:styleId="ListParagraph">
    <w:name w:val="List Paragraph"/>
    <w:aliases w:val="References,Numbered List Paragraph,List Paragraph (numbered (a)),Bullets,Casella di testo,List Paragraph nowy,Liste 1,Main numbered paragraph,List Paragraph Char Char Char,Use Case List Paragraph,List Paragraph2,Bullet paras,Reference 2"/>
    <w:basedOn w:val="Normal"/>
    <w:link w:val="ListParagraphChar"/>
    <w:uiPriority w:val="34"/>
    <w:qFormat/>
    <w:rsid w:val="00DA111E"/>
    <w:pPr>
      <w:ind w:left="720"/>
      <w:contextualSpacing/>
    </w:pPr>
  </w:style>
  <w:style w:type="character" w:styleId="IntenseEmphasis">
    <w:name w:val="Intense Emphasis"/>
    <w:basedOn w:val="DefaultParagraphFont"/>
    <w:uiPriority w:val="21"/>
    <w:qFormat/>
    <w:rsid w:val="00DA111E"/>
    <w:rPr>
      <w:i/>
      <w:iCs/>
      <w:color w:val="2F5496" w:themeColor="accent1" w:themeShade="BF"/>
    </w:rPr>
  </w:style>
  <w:style w:type="paragraph" w:styleId="IntenseQuote">
    <w:name w:val="Intense Quote"/>
    <w:basedOn w:val="Normal"/>
    <w:next w:val="Normal"/>
    <w:link w:val="IntenseQuoteChar"/>
    <w:uiPriority w:val="30"/>
    <w:qFormat/>
    <w:rsid w:val="00DA1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11E"/>
    <w:rPr>
      <w:i/>
      <w:iCs/>
      <w:color w:val="2F5496" w:themeColor="accent1" w:themeShade="BF"/>
    </w:rPr>
  </w:style>
  <w:style w:type="character" w:styleId="IntenseReference">
    <w:name w:val="Intense Reference"/>
    <w:basedOn w:val="DefaultParagraphFont"/>
    <w:uiPriority w:val="32"/>
    <w:qFormat/>
    <w:rsid w:val="00DA111E"/>
    <w:rPr>
      <w:b/>
      <w:bCs/>
      <w:smallCaps/>
      <w:color w:val="2F5496" w:themeColor="accent1" w:themeShade="BF"/>
      <w:spacing w:val="5"/>
    </w:rPr>
  </w:style>
  <w:style w:type="paragraph" w:styleId="Footer">
    <w:name w:val="footer"/>
    <w:basedOn w:val="Normal"/>
    <w:link w:val="FooterChar"/>
    <w:uiPriority w:val="99"/>
    <w:unhideWhenUsed/>
    <w:rsid w:val="00DA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1E"/>
    <w:rPr>
      <w:rFonts w:ascii="Calibri" w:eastAsia="Calibri" w:hAnsi="Calibri" w:cs="Times New Roman"/>
      <w:kern w:val="0"/>
      <w:lang w:val="en-US"/>
      <w14:ligatures w14:val="none"/>
    </w:rPr>
  </w:style>
  <w:style w:type="character" w:styleId="PageNumber">
    <w:name w:val="page number"/>
    <w:basedOn w:val="DefaultParagraphFont"/>
    <w:uiPriority w:val="99"/>
    <w:semiHidden/>
    <w:unhideWhenUsed/>
    <w:rsid w:val="00DA111E"/>
  </w:style>
  <w:style w:type="paragraph" w:styleId="NoSpacing">
    <w:name w:val="No Spacing"/>
    <w:link w:val="NoSpacingChar"/>
    <w:uiPriority w:val="1"/>
    <w:qFormat/>
    <w:rsid w:val="00DA111E"/>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rsid w:val="00DA111E"/>
    <w:rPr>
      <w:rFonts w:ascii="Calibri" w:eastAsia="Calibri" w:hAnsi="Calibri" w:cs="Times New Roman"/>
      <w:kern w:val="0"/>
      <w:lang w:val="en-US"/>
      <w14:ligatures w14:val="none"/>
    </w:rPr>
  </w:style>
  <w:style w:type="table" w:customStyle="1" w:styleId="GridTable2-Accent61">
    <w:name w:val="Grid Table 2 - Accent 61"/>
    <w:basedOn w:val="TableNormal"/>
    <w:uiPriority w:val="47"/>
    <w:rsid w:val="00DA111E"/>
    <w:pPr>
      <w:spacing w:after="0" w:line="240" w:lineRule="auto"/>
    </w:pPr>
    <w:rPr>
      <w:rFonts w:eastAsia="Batang"/>
      <w:kern w:val="0"/>
      <w:sz w:val="20"/>
      <w:szCs w:val="20"/>
      <w:lang w:val="en-US"/>
      <w14:ligatures w14:val="none"/>
    </w:rPr>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PlainTable21">
    <w:name w:val="Plain Table 21"/>
    <w:basedOn w:val="TableNormal"/>
    <w:uiPriority w:val="99"/>
    <w:rsid w:val="00DA111E"/>
    <w:pPr>
      <w:spacing w:after="0" w:line="240" w:lineRule="auto"/>
    </w:pPr>
    <w:rPr>
      <w:rFonts w:eastAsiaTheme="minorEastAsia"/>
      <w:kern w:val="0"/>
      <w:sz w:val="24"/>
      <w:szCs w:val="24"/>
      <w:lang w:val="en-US"/>
      <w14:ligatures w14:val="none"/>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References Char,Numbered List Paragraph Char,List Paragraph (numbered (a)) Char,Bullets Char,Casella di testo Char,List Paragraph nowy Char,Liste 1 Char,Main numbered paragraph Char,List Paragraph Char Char Char Char,Reference 2 Char"/>
    <w:link w:val="ListParagraph"/>
    <w:uiPriority w:val="34"/>
    <w:qFormat/>
    <w:rsid w:val="00DA111E"/>
  </w:style>
  <w:style w:type="paragraph" w:customStyle="1" w:styleId="MeetingTitle">
    <w:name w:val="Meeting Title"/>
    <w:basedOn w:val="Normal"/>
    <w:uiPriority w:val="99"/>
    <w:qFormat/>
    <w:rsid w:val="00DA111E"/>
    <w:pPr>
      <w:spacing w:before="320" w:after="0" w:line="240" w:lineRule="auto"/>
      <w:outlineLvl w:val="1"/>
    </w:pPr>
    <w:rPr>
      <w:b/>
      <w:sz w:val="18"/>
    </w:rPr>
  </w:style>
  <w:style w:type="table" w:styleId="TableGrid">
    <w:name w:val="Table Grid"/>
    <w:basedOn w:val="TableNormal"/>
    <w:uiPriority w:val="39"/>
    <w:unhideWhenUsed/>
    <w:qFormat/>
    <w:rsid w:val="00DA111E"/>
    <w:pPr>
      <w:spacing w:after="0" w:line="240" w:lineRule="auto"/>
    </w:pPr>
    <w:rPr>
      <w:rFonts w:eastAsia="Batang"/>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111E"/>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DA111E"/>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D0BC8"/>
    <w:pPr>
      <w:spacing w:after="0" w:line="240" w:lineRule="auto"/>
    </w:pPr>
    <w:rPr>
      <w:rFonts w:ascii="Calibri" w:eastAsia="Calibri" w:hAnsi="Calibri"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1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DA1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11E"/>
    <w:rPr>
      <w:rFonts w:eastAsiaTheme="majorEastAsia" w:cstheme="majorBidi"/>
      <w:color w:val="272727" w:themeColor="text1" w:themeTint="D8"/>
    </w:rPr>
  </w:style>
  <w:style w:type="paragraph" w:styleId="Title">
    <w:name w:val="Title"/>
    <w:basedOn w:val="Normal"/>
    <w:next w:val="Normal"/>
    <w:link w:val="TitleChar"/>
    <w:uiPriority w:val="10"/>
    <w:qFormat/>
    <w:rsid w:val="00DA1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11E"/>
    <w:pPr>
      <w:spacing w:before="160"/>
      <w:jc w:val="center"/>
    </w:pPr>
    <w:rPr>
      <w:i/>
      <w:iCs/>
      <w:color w:val="404040" w:themeColor="text1" w:themeTint="BF"/>
    </w:rPr>
  </w:style>
  <w:style w:type="character" w:customStyle="1" w:styleId="QuoteChar">
    <w:name w:val="Quote Char"/>
    <w:basedOn w:val="DefaultParagraphFont"/>
    <w:link w:val="Quote"/>
    <w:uiPriority w:val="29"/>
    <w:rsid w:val="00DA111E"/>
    <w:rPr>
      <w:i/>
      <w:iCs/>
      <w:color w:val="404040" w:themeColor="text1" w:themeTint="BF"/>
    </w:rPr>
  </w:style>
  <w:style w:type="paragraph" w:styleId="ListParagraph">
    <w:name w:val="List Paragraph"/>
    <w:aliases w:val="References,Numbered List Paragraph,List Paragraph (numbered (a)),Bullets,Casella di testo,List Paragraph nowy,Liste 1,Main numbered paragraph,List Paragraph Char Char Char,Use Case List Paragraph,List Paragraph2,Bullet paras,Reference 2"/>
    <w:basedOn w:val="Normal"/>
    <w:link w:val="ListParagraphChar"/>
    <w:uiPriority w:val="34"/>
    <w:qFormat/>
    <w:rsid w:val="00DA111E"/>
    <w:pPr>
      <w:ind w:left="720"/>
      <w:contextualSpacing/>
    </w:pPr>
  </w:style>
  <w:style w:type="character" w:styleId="IntenseEmphasis">
    <w:name w:val="Intense Emphasis"/>
    <w:basedOn w:val="DefaultParagraphFont"/>
    <w:uiPriority w:val="21"/>
    <w:qFormat/>
    <w:rsid w:val="00DA111E"/>
    <w:rPr>
      <w:i/>
      <w:iCs/>
      <w:color w:val="2F5496" w:themeColor="accent1" w:themeShade="BF"/>
    </w:rPr>
  </w:style>
  <w:style w:type="paragraph" w:styleId="IntenseQuote">
    <w:name w:val="Intense Quote"/>
    <w:basedOn w:val="Normal"/>
    <w:next w:val="Normal"/>
    <w:link w:val="IntenseQuoteChar"/>
    <w:uiPriority w:val="30"/>
    <w:qFormat/>
    <w:rsid w:val="00DA1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11E"/>
    <w:rPr>
      <w:i/>
      <w:iCs/>
      <w:color w:val="2F5496" w:themeColor="accent1" w:themeShade="BF"/>
    </w:rPr>
  </w:style>
  <w:style w:type="character" w:styleId="IntenseReference">
    <w:name w:val="Intense Reference"/>
    <w:basedOn w:val="DefaultParagraphFont"/>
    <w:uiPriority w:val="32"/>
    <w:qFormat/>
    <w:rsid w:val="00DA111E"/>
    <w:rPr>
      <w:b/>
      <w:bCs/>
      <w:smallCaps/>
      <w:color w:val="2F5496" w:themeColor="accent1" w:themeShade="BF"/>
      <w:spacing w:val="5"/>
    </w:rPr>
  </w:style>
  <w:style w:type="paragraph" w:styleId="Footer">
    <w:name w:val="footer"/>
    <w:basedOn w:val="Normal"/>
    <w:link w:val="FooterChar"/>
    <w:uiPriority w:val="99"/>
    <w:unhideWhenUsed/>
    <w:rsid w:val="00DA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1E"/>
    <w:rPr>
      <w:rFonts w:ascii="Calibri" w:eastAsia="Calibri" w:hAnsi="Calibri" w:cs="Times New Roman"/>
      <w:kern w:val="0"/>
      <w:lang w:val="en-US"/>
      <w14:ligatures w14:val="none"/>
    </w:rPr>
  </w:style>
  <w:style w:type="character" w:styleId="PageNumber">
    <w:name w:val="page number"/>
    <w:basedOn w:val="DefaultParagraphFont"/>
    <w:uiPriority w:val="99"/>
    <w:semiHidden/>
    <w:unhideWhenUsed/>
    <w:rsid w:val="00DA111E"/>
  </w:style>
  <w:style w:type="paragraph" w:styleId="NoSpacing">
    <w:name w:val="No Spacing"/>
    <w:link w:val="NoSpacingChar"/>
    <w:uiPriority w:val="1"/>
    <w:qFormat/>
    <w:rsid w:val="00DA111E"/>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rsid w:val="00DA111E"/>
    <w:rPr>
      <w:rFonts w:ascii="Calibri" w:eastAsia="Calibri" w:hAnsi="Calibri" w:cs="Times New Roman"/>
      <w:kern w:val="0"/>
      <w:lang w:val="en-US"/>
      <w14:ligatures w14:val="none"/>
    </w:rPr>
  </w:style>
  <w:style w:type="table" w:customStyle="1" w:styleId="GridTable2-Accent61">
    <w:name w:val="Grid Table 2 - Accent 61"/>
    <w:basedOn w:val="TableNormal"/>
    <w:uiPriority w:val="47"/>
    <w:rsid w:val="00DA111E"/>
    <w:pPr>
      <w:spacing w:after="0" w:line="240" w:lineRule="auto"/>
    </w:pPr>
    <w:rPr>
      <w:rFonts w:eastAsia="Batang"/>
      <w:kern w:val="0"/>
      <w:sz w:val="20"/>
      <w:szCs w:val="20"/>
      <w:lang w:val="en-US"/>
      <w14:ligatures w14:val="none"/>
    </w:rPr>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PlainTable21">
    <w:name w:val="Plain Table 21"/>
    <w:basedOn w:val="TableNormal"/>
    <w:uiPriority w:val="99"/>
    <w:rsid w:val="00DA111E"/>
    <w:pPr>
      <w:spacing w:after="0" w:line="240" w:lineRule="auto"/>
    </w:pPr>
    <w:rPr>
      <w:rFonts w:eastAsiaTheme="minorEastAsia"/>
      <w:kern w:val="0"/>
      <w:sz w:val="24"/>
      <w:szCs w:val="24"/>
      <w:lang w:val="en-US"/>
      <w14:ligatures w14:val="none"/>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References Char,Numbered List Paragraph Char,List Paragraph (numbered (a)) Char,Bullets Char,Casella di testo Char,List Paragraph nowy Char,Liste 1 Char,Main numbered paragraph Char,List Paragraph Char Char Char Char,Reference 2 Char"/>
    <w:link w:val="ListParagraph"/>
    <w:uiPriority w:val="34"/>
    <w:qFormat/>
    <w:rsid w:val="00DA111E"/>
  </w:style>
  <w:style w:type="paragraph" w:customStyle="1" w:styleId="MeetingTitle">
    <w:name w:val="Meeting Title"/>
    <w:basedOn w:val="Normal"/>
    <w:uiPriority w:val="99"/>
    <w:qFormat/>
    <w:rsid w:val="00DA111E"/>
    <w:pPr>
      <w:spacing w:before="320" w:after="0" w:line="240" w:lineRule="auto"/>
      <w:outlineLvl w:val="1"/>
    </w:pPr>
    <w:rPr>
      <w:b/>
      <w:sz w:val="18"/>
    </w:rPr>
  </w:style>
  <w:style w:type="table" w:styleId="TableGrid">
    <w:name w:val="Table Grid"/>
    <w:basedOn w:val="TableNormal"/>
    <w:uiPriority w:val="39"/>
    <w:unhideWhenUsed/>
    <w:qFormat/>
    <w:rsid w:val="00DA111E"/>
    <w:pPr>
      <w:spacing w:after="0" w:line="240" w:lineRule="auto"/>
    </w:pPr>
    <w:rPr>
      <w:rFonts w:eastAsia="Batang"/>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111E"/>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DA111E"/>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D0BC8"/>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10B4C5F697046B93376F3F2A0FF5E" ma:contentTypeVersion="15" ma:contentTypeDescription="Create a new document." ma:contentTypeScope="" ma:versionID="2ef05811233ca068a7fd0f7005b5e3cb">
  <xsd:schema xmlns:xsd="http://www.w3.org/2001/XMLSchema" xmlns:xs="http://www.w3.org/2001/XMLSchema" xmlns:p="http://schemas.microsoft.com/office/2006/metadata/properties" xmlns:ns1="http://schemas.microsoft.com/sharepoint/v3" xmlns:ns2="e430e118-dbfb-4639-87f7-5a5391090893" xmlns:ns3="2e9b109a-0a3a-4745-b5de-7d420da0370d" targetNamespace="http://schemas.microsoft.com/office/2006/metadata/properties" ma:root="true" ma:fieldsID="46c0f7bd61552a2eed4737b05b932f78" ns1:_="" ns2:_="" ns3:_="">
    <xsd:import namespace="http://schemas.microsoft.com/sharepoint/v3"/>
    <xsd:import namespace="e430e118-dbfb-4639-87f7-5a5391090893"/>
    <xsd:import namespace="2e9b109a-0a3a-4745-b5de-7d420da037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0e118-dbfb-4639-87f7-5a5391090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b109a-0a3a-4745-b5de-7d420da037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f6693e-d8ca-45ed-9560-1fcf2be633cf}" ma:internalName="TaxCatchAll" ma:showField="CatchAllData" ma:web="2e9b109a-0a3a-4745-b5de-7d420da03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9b109a-0a3a-4745-b5de-7d420da0370d" xsi:nil="true"/>
    <lcf76f155ced4ddcb4097134ff3c332f xmlns="e430e118-dbfb-4639-87f7-5a539109089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2ABB614-3E80-435E-BA68-B976E52D9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30e118-dbfb-4639-87f7-5a5391090893"/>
    <ds:schemaRef ds:uri="2e9b109a-0a3a-4745-b5de-7d420da03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8E102-0A79-4F87-B6E0-E266D65EC073}">
  <ds:schemaRefs>
    <ds:schemaRef ds:uri="http://schemas.microsoft.com/sharepoint/v3/contenttype/forms"/>
  </ds:schemaRefs>
</ds:datastoreItem>
</file>

<file path=customXml/itemProps3.xml><?xml version="1.0" encoding="utf-8"?>
<ds:datastoreItem xmlns:ds="http://schemas.openxmlformats.org/officeDocument/2006/customXml" ds:itemID="{1F8013DD-A7A6-4658-9A2C-59CF82A72CB4}">
  <ds:schemaRefs>
    <ds:schemaRef ds:uri="http://schemas.microsoft.com/office/2006/metadata/properties"/>
    <ds:schemaRef ds:uri="http://schemas.microsoft.com/office/infopath/2007/PartnerControls"/>
    <ds:schemaRef ds:uri="2e9b109a-0a3a-4745-b5de-7d420da0370d"/>
    <ds:schemaRef ds:uri="e430e118-dbfb-4639-87f7-5a539109089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PATRICK</cp:lastModifiedBy>
  <cp:revision>2</cp:revision>
  <dcterms:created xsi:type="dcterms:W3CDTF">2026-03-24T13:34:00Z</dcterms:created>
  <dcterms:modified xsi:type="dcterms:W3CDTF">2026-03-24T13:34:00Z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0x010100FBA10B4C5F697046B93376F3F2A0FF5E</vt:lpwstr>
  </property>
  <property fmtid="{D5CDD505-2E9C-101B-9397-08002B2CF9AE}" pid="3" name="ClassificationContentMarkingFooterShapeIds">
    <vt:lpwstr>4cf3d050,3946ec16,7ee4cf0c</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2026-03-03T21:17:23Z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6fd9d89a-a731-473b-adf4-a3ae92a6eff1</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